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margin" w:tblpY="2"/>
        <w:tblW w:w="8847" w:type="dxa"/>
        <w:tblInd w:w="0" w:type="dxa"/>
        <w:tblBorders>
          <w:top w:val="none" w:color="auto" w:sz="0" w:space="0"/>
          <w:left w:val="none" w:color="auto" w:sz="0" w:space="0"/>
          <w:bottom w:val="single" w:color="FF0000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2"/>
        <w:gridCol w:w="4465"/>
      </w:tblGrid>
      <w:tr>
        <w:tblPrEx>
          <w:tblBorders>
            <w:top w:val="none" w:color="auto" w:sz="0" w:space="0"/>
            <w:left w:val="none" w:color="auto" w:sz="0" w:space="0"/>
            <w:bottom w:val="single" w:color="FF0000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9" w:hRule="atLeast"/>
        </w:trPr>
        <w:tc>
          <w:tcPr>
            <w:tcW w:w="4382" w:type="dxa"/>
          </w:tcPr>
          <w:p>
            <w:pPr>
              <w:snapToGrid w:val="0"/>
              <w:spacing w:line="500" w:lineRule="atLeast"/>
              <w:rPr>
                <w:sz w:val="32"/>
              </w:rPr>
            </w:pPr>
          </w:p>
        </w:tc>
        <w:tc>
          <w:tcPr>
            <w:tcW w:w="4465" w:type="dxa"/>
          </w:tcPr>
          <w:p>
            <w:pPr>
              <w:pStyle w:val="2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FF0000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2" w:hRule="atLeast"/>
        </w:trPr>
        <w:tc>
          <w:tcPr>
            <w:tcW w:w="8847" w:type="dxa"/>
            <w:gridSpan w:val="2"/>
            <w:vAlign w:val="center"/>
          </w:tcPr>
          <w:p>
            <w:pPr>
              <w:pStyle w:val="4"/>
              <w:ind w:right="146" w:rightChars="47"/>
              <w:rPr>
                <w:rFonts w:ascii="方正小标宋简体" w:eastAsia="方正小标宋简体"/>
                <w:w w:val="6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FF0000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91" w:hRule="atLeast"/>
        </w:trPr>
        <w:tc>
          <w:tcPr>
            <w:tcW w:w="8847" w:type="dxa"/>
            <w:gridSpan w:val="2"/>
            <w:tcBorders>
              <w:bottom w:val="nil"/>
            </w:tcBorders>
            <w:vAlign w:val="bottom"/>
          </w:tcPr>
          <w:p>
            <w:pPr>
              <w:tabs>
                <w:tab w:val="left" w:pos="8460"/>
              </w:tabs>
              <w:spacing w:beforeLines="100" w:line="590" w:lineRule="exact"/>
              <w:ind w:firstLine="156" w:firstLineChars="50"/>
              <w:jc w:val="center"/>
              <w:rPr>
                <w:rFonts w:hint="eastAsia" w:ascii="楷体_GB2312" w:hAnsi="楷体_GB2312" w:eastAsia="楷体_GB2312" w:cs="楷体_GB2312"/>
                <w:color w:val="000000"/>
                <w:szCs w:val="32"/>
              </w:rPr>
            </w:pPr>
            <w:r>
              <w:rPr>
                <w:rFonts w:hint="eastAsia" w:ascii="仿宋_GB2312" w:hAnsi="华文中宋" w:cs="仿宋_GB2312"/>
                <w:color w:val="000000"/>
                <w:szCs w:val="32"/>
              </w:rPr>
              <w:t>深盐对口</w:t>
            </w:r>
            <w:r>
              <w:rPr>
                <w:rFonts w:hint="eastAsia" w:ascii="仿宋_GB2312" w:hAnsi="华文中宋" w:cs="仿宋_GB2312"/>
                <w:color w:val="000000"/>
                <w:szCs w:val="32"/>
                <w:lang w:eastAsia="zh-CN"/>
              </w:rPr>
              <w:t>字</w:t>
            </w:r>
            <w:r>
              <w:rPr>
                <w:rFonts w:hint="eastAsia" w:ascii="仿宋_GB2312" w:hAnsi="华文中宋" w:cs="仿宋_GB2312"/>
                <w:color w:val="000000"/>
                <w:szCs w:val="32"/>
              </w:rPr>
              <w:t>〔2021〕</w:t>
            </w:r>
            <w:r>
              <w:rPr>
                <w:rFonts w:hint="eastAsia" w:ascii="仿宋_GB2312" w:hAnsi="华文中宋" w:cs="仿宋_GB2312"/>
                <w:color w:val="000000"/>
                <w:szCs w:val="32"/>
                <w:lang w:val="en-US" w:eastAsia="zh-CN"/>
              </w:rPr>
              <w:t>2</w:t>
            </w:r>
            <w:r>
              <w:rPr>
                <w:rFonts w:hint="eastAsia" w:ascii="仿宋_GB2312" w:hAnsi="华文中宋" w:cs="仿宋_GB2312"/>
                <w:color w:val="000000"/>
                <w:szCs w:val="32"/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FF0000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" w:hRule="exact"/>
        </w:trPr>
        <w:tc>
          <w:tcPr>
            <w:tcW w:w="8847" w:type="dxa"/>
            <w:gridSpan w:val="2"/>
            <w:tcBorders>
              <w:bottom w:val="nil"/>
            </w:tcBorders>
          </w:tcPr>
          <w:p>
            <w:pPr>
              <w:jc w:val="center"/>
            </w:pPr>
            <w:bookmarkStart w:id="0" w:name="_GoBack"/>
            <w:bookmarkEnd w:id="0"/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580" w:lineRule="exact"/>
        <w:ind w:right="143" w:rightChars="46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ascii="方正小标宋简体" w:hAnsi="Cambria" w:eastAsia="方正小标宋简体"/>
          <w:bCs/>
          <w:sz w:val="44"/>
          <w:szCs w:val="32"/>
        </w:rPr>
      </w:pPr>
      <w:r>
        <w:rPr>
          <w:rFonts w:hint="eastAsia" w:ascii="方正小标宋简体" w:hAnsi="Cambria" w:eastAsia="方正小标宋简体"/>
          <w:bCs/>
          <w:sz w:val="44"/>
          <w:szCs w:val="32"/>
        </w:rPr>
        <w:t>盐田区对口支援工作领导小组关于印发《深圳市盐田区关于推进东西部协作工作</w:t>
      </w:r>
      <w:r>
        <w:rPr>
          <w:rFonts w:hint="eastAsia" w:ascii="方正小标宋简体" w:hAnsi="Cambria" w:eastAsia="方正小标宋简体"/>
          <w:bCs/>
          <w:sz w:val="44"/>
          <w:szCs w:val="32"/>
        </w:rPr>
        <w:br w:type="textWrapping"/>
      </w:r>
      <w:r>
        <w:rPr>
          <w:rFonts w:hint="eastAsia" w:ascii="方正小标宋简体" w:hAnsi="Cambria" w:eastAsia="方正小标宋简体"/>
          <w:bCs/>
          <w:sz w:val="44"/>
          <w:szCs w:val="32"/>
        </w:rPr>
        <w:t>实施方案》的通知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为全面贯彻落实中央、省、市关于实现巩固拓展脱贫攻坚成果同乡村振兴有效衔接的决策部署，加强东西部协作，根据《深圳市对口支援工作领导小组印发〈关于推进东西部协作工作实施方案〉的通知》（深对字〔2021〕2号）文件精神，结合我区实际，制定了《深圳市盐田区关于推进东西部协作工作实施方案》，已经区领导同意，现予以印发，请结合实际认真贯彻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60" w:leftChars="200" w:hanging="936" w:hangingChars="300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附件：</w:t>
      </w:r>
      <w:r>
        <w:rPr>
          <w:rFonts w:hint="eastAsia" w:cs="仿宋_GB2312"/>
        </w:rPr>
        <w:t>深圳市盐田区关于推进东西部协作工作实施方案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szCs w:val="32"/>
        </w:rPr>
        <w:t>（</w:t>
      </w:r>
      <w:r>
        <w:rPr>
          <w:rFonts w:hint="eastAsia" w:ascii="仿宋_GB2312" w:hAnsi="仿宋_GB2312" w:cs="仿宋_GB2312"/>
          <w:szCs w:val="32"/>
          <w:lang w:eastAsia="zh-CN"/>
        </w:rPr>
        <w:t>此页无正文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cs="仿宋_GB2312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624" w:rightChars="200"/>
        <w:jc w:val="righ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盐田区对口支援工作领导小组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327" w:rightChars="105" w:firstLine="4992" w:firstLineChars="160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2021年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bCs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4965"/>
          <w:tab w:val="right" w:pos="830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327" w:rightChars="105"/>
        <w:jc w:val="left"/>
        <w:textAlignment w:val="auto"/>
        <w:rPr>
          <w:rFonts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（联系人：</w:t>
      </w:r>
      <w:r>
        <w:rPr>
          <w:rFonts w:hint="eastAsia" w:cs="仿宋_GB2312"/>
          <w:bCs/>
          <w:szCs w:val="32"/>
          <w:lang w:eastAsia="zh-CN"/>
        </w:rPr>
        <w:t>盐田</w:t>
      </w:r>
      <w:r>
        <w:rPr>
          <w:rFonts w:hint="eastAsia" w:ascii="仿宋_GB2312" w:hAnsi="仿宋_GB2312" w:cs="仿宋_GB2312"/>
          <w:bCs/>
          <w:szCs w:val="32"/>
        </w:rPr>
        <w:t>区对口办 周文芳，25160994</w:t>
      </w:r>
      <w:r>
        <w:rPr>
          <w:rFonts w:hint="eastAsia" w:ascii="仿宋_GB2312" w:hAnsi="仿宋_GB2312" w:cs="仿宋_GB2312"/>
          <w:szCs w:val="32"/>
        </w:rPr>
        <w:t>）</w:t>
      </w:r>
      <w:r>
        <w:rPr>
          <w:rFonts w:hint="eastAsia" w:ascii="仿宋_GB2312" w:hAnsi="仿宋_GB2312" w:cs="仿宋_GB2312"/>
          <w:szCs w:val="32"/>
        </w:rPr>
        <w:br w:type="textWrapping"/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cs="仿宋_GB2312"/>
          <w:sz w:val="10"/>
        </w:rPr>
      </w:pPr>
    </w:p>
    <w:tbl>
      <w:tblPr>
        <w:tblStyle w:val="11"/>
        <w:tblpPr w:leftFromText="180" w:rightFromText="180" w:vertAnchor="page" w:horzAnchor="page" w:tblpX="1553" w:tblpY="14647"/>
        <w:tblOverlap w:val="never"/>
        <w:tblW w:w="8861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6"/>
        <w:gridCol w:w="3625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5236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tabs>
                <w:tab w:val="left" w:pos="5598"/>
              </w:tabs>
              <w:ind w:firstLine="272" w:firstLineChars="10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Cs/>
                <w:sz w:val="28"/>
                <w:szCs w:val="28"/>
              </w:rPr>
              <w:t>盐田区对口支援工作领导小组办公室</w:t>
            </w:r>
          </w:p>
        </w:tc>
        <w:tc>
          <w:tcPr>
            <w:tcW w:w="3625" w:type="dxa"/>
            <w:tcBorders>
              <w:top w:val="single" w:color="auto" w:sz="4" w:space="0"/>
              <w:left w:val="nil"/>
            </w:tcBorders>
            <w:vAlign w:val="center"/>
          </w:tcPr>
          <w:p>
            <w:pPr>
              <w:tabs>
                <w:tab w:val="left" w:pos="5598"/>
              </w:tabs>
              <w:wordWrap w:val="0"/>
              <w:ind w:right="205" w:rightChars="0"/>
              <w:jc w:val="right"/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2021年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cs="仿宋_GB2312"/>
                <w:sz w:val="28"/>
                <w:szCs w:val="28"/>
              </w:rPr>
              <w:t>日印发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>
      <w:pPr>
        <w:spacing w:line="560" w:lineRule="exact"/>
        <w:rPr>
          <w:rFonts w:ascii="仿宋_GB2312" w:hAnsi="仿宋_GB2312" w:cs="仿宋_GB2312"/>
          <w:sz w:val="1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98" w:right="1474" w:bottom="1440" w:left="1588" w:header="851" w:footer="1041" w:gutter="0"/>
          <w:pgNumType w:start="1"/>
          <w:cols w:space="720" w:num="1"/>
          <w:docGrid w:type="linesAndChars" w:linePitch="573" w:charSpace="-1843"/>
        </w:sect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outlineLvl w:val="0"/>
        <w:rPr>
          <w:rFonts w:ascii="黑体" w:hAnsi="黑体" w:eastAsia="黑体" w:cs="黑体"/>
          <w:kern w:val="44"/>
          <w:szCs w:val="32"/>
        </w:rPr>
      </w:pPr>
      <w:r>
        <w:rPr>
          <w:rFonts w:hint="eastAsia" w:ascii="黑体" w:hAnsi="黑体" w:eastAsia="黑体" w:cs="黑体"/>
          <w:kern w:val="44"/>
          <w:szCs w:val="32"/>
        </w:rPr>
        <w:t>附件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Times New Roman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outlineLvl w:val="0"/>
        <w:rPr>
          <w:rFonts w:ascii="方正小标宋简体" w:hAnsi="方正小标宋简体" w:eastAsia="方正小标宋简体" w:cs="Times New Roman"/>
          <w:kern w:val="44"/>
          <w:sz w:val="44"/>
          <w:szCs w:val="32"/>
        </w:rPr>
      </w:pPr>
      <w:r>
        <w:rPr>
          <w:rFonts w:hint="eastAsia" w:ascii="方正小标宋简体" w:hAnsi="方正小标宋简体" w:eastAsia="方正小标宋简体" w:cs="Times New Roman"/>
          <w:kern w:val="44"/>
          <w:sz w:val="44"/>
          <w:szCs w:val="32"/>
        </w:rPr>
        <w:t>深圳市盐田区关于推进东西部协作工作</w:t>
      </w:r>
      <w:r>
        <w:rPr>
          <w:rFonts w:hint="eastAsia" w:ascii="方正小标宋简体" w:hAnsi="方正小标宋简体" w:eastAsia="方正小标宋简体" w:cs="Times New Roman"/>
          <w:kern w:val="44"/>
          <w:sz w:val="44"/>
          <w:szCs w:val="32"/>
        </w:rPr>
        <w:br w:type="textWrapping"/>
      </w:r>
      <w:r>
        <w:rPr>
          <w:rFonts w:hint="eastAsia" w:ascii="方正小标宋简体" w:hAnsi="方正小标宋简体" w:eastAsia="方正小标宋简体" w:cs="Times New Roman"/>
          <w:kern w:val="44"/>
          <w:sz w:val="44"/>
          <w:szCs w:val="32"/>
        </w:rPr>
        <w:t>实施方案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Times New Roman"/>
          <w:szCs w:val="24"/>
        </w:rPr>
      </w:pP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Style w:val="23"/>
          <w:rFonts w:hint="eastAsia" w:ascii="仿宋_GB2312" w:hAnsi="仿宋_GB2312" w:cs="仿宋_GB2312"/>
          <w:snapToGrid w:val="0"/>
          <w:sz w:val="32"/>
          <w:szCs w:val="32"/>
          <w:lang w:eastAsia="zh-CN"/>
        </w:rPr>
        <w:t>根据</w:t>
      </w:r>
      <w:r>
        <w:rPr>
          <w:rFonts w:hint="eastAsia" w:ascii="仿宋_GB2312" w:hAnsi="仿宋_GB2312" w:cs="仿宋_GB2312"/>
          <w:szCs w:val="32"/>
        </w:rPr>
        <w:t>《深圳市对口支援工作领导小组印发〈关于推进东西部协作工作实施方案〉的通知》（深对字〔2021〕2号）等文件精神，为全面贯彻落实中央、省、市关于实现巩固拓展脱贫攻坚成果同乡村振兴有效衔接的决策部署，加强</w:t>
      </w:r>
      <w:r>
        <w:rPr>
          <w:rFonts w:ascii="仿宋_GB2312" w:hAnsi="仿宋_GB2312" w:cs="仿宋_GB2312"/>
          <w:szCs w:val="32"/>
        </w:rPr>
        <w:t>东西部协作，</w:t>
      </w:r>
      <w:r>
        <w:rPr>
          <w:rFonts w:hint="eastAsia" w:ascii="仿宋_GB2312" w:hAnsi="仿宋_GB2312" w:cs="仿宋_GB2312"/>
          <w:szCs w:val="32"/>
        </w:rPr>
        <w:t>助力凌云、乐业全面推进乡村振兴，就做好深圳市盐田区对口广西</w:t>
      </w:r>
      <w:r>
        <w:rPr>
          <w:rFonts w:ascii="仿宋_GB2312" w:hAnsi="仿宋_GB2312" w:cs="仿宋_GB2312"/>
          <w:szCs w:val="32"/>
        </w:rPr>
        <w:t>百色</w:t>
      </w:r>
      <w:r>
        <w:rPr>
          <w:rFonts w:hint="eastAsia" w:ascii="仿宋_GB2312" w:hAnsi="仿宋_GB2312" w:cs="仿宋_GB2312"/>
          <w:szCs w:val="32"/>
        </w:rPr>
        <w:t>市凌云县、乐业县东西部协作工作，并结合我区实际，制定如下实施方案。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一、总体要求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Calibri" w:hAnsi="Calibri" w:cs="Times New Roman"/>
          <w:szCs w:val="24"/>
        </w:rPr>
      </w:pPr>
      <w:r>
        <w:rPr>
          <w:rFonts w:hint="eastAsia" w:ascii="楷体_GB2312" w:hAnsi="楷体_GB2312" w:eastAsia="楷体_GB2312" w:cs="楷体_GB2312"/>
          <w:szCs w:val="32"/>
        </w:rPr>
        <w:t>（一）指导思想。</w:t>
      </w:r>
      <w:r>
        <w:rPr>
          <w:rFonts w:hint="eastAsia" w:ascii="仿宋_GB2312" w:hAnsi="仿宋_GB2312" w:cs="仿宋_GB2312"/>
          <w:szCs w:val="32"/>
        </w:rPr>
        <w:t>坚持以习近平新时代中国特色社会主义思想为指导，全面贯彻党的十九大和十九届二中、三中、四中、五中全会精神，深入贯彻习近平总书记出席深圳经济特区建立40周年庆祝大会和视察广东、深圳重要讲话、重要指示精神，立足新发展阶段，贯彻新发展理念，构建新发展格局，坚持</w:t>
      </w:r>
      <w:r>
        <w:rPr>
          <w:rFonts w:ascii="仿宋_GB2312" w:hAnsi="仿宋_GB2312" w:cs="仿宋_GB2312"/>
          <w:szCs w:val="32"/>
        </w:rPr>
        <w:t>共同富裕</w:t>
      </w:r>
      <w:r>
        <w:rPr>
          <w:rFonts w:hint="eastAsia" w:ascii="仿宋_GB2312" w:hAnsi="仿宋_GB2312" w:cs="仿宋_GB2312"/>
          <w:szCs w:val="32"/>
        </w:rPr>
        <w:t>方向</w:t>
      </w:r>
      <w:r>
        <w:rPr>
          <w:rFonts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按照深圳市委和市政府</w:t>
      </w:r>
      <w:r>
        <w:rPr>
          <w:rFonts w:ascii="仿宋_GB2312" w:hAnsi="仿宋_GB2312" w:cs="仿宋_GB2312"/>
          <w:szCs w:val="32"/>
        </w:rPr>
        <w:t>部署安排，</w:t>
      </w:r>
      <w:r>
        <w:rPr>
          <w:rFonts w:hint="eastAsia" w:ascii="仿宋_GB2312" w:hAnsi="仿宋_GB2312" w:cs="仿宋_GB2312"/>
          <w:szCs w:val="32"/>
        </w:rPr>
        <w:t>坚决扛起新时代历史使命，以先行示范区的担当作为，优化</w:t>
      </w:r>
      <w:r>
        <w:rPr>
          <w:rFonts w:ascii="仿宋_GB2312" w:hAnsi="仿宋_GB2312" w:cs="仿宋_GB2312"/>
          <w:szCs w:val="32"/>
        </w:rPr>
        <w:t>帮扶方式，</w:t>
      </w:r>
      <w:r>
        <w:rPr>
          <w:rFonts w:hint="eastAsia" w:ascii="仿宋_GB2312" w:hAnsi="仿宋_GB2312" w:cs="仿宋_GB2312"/>
          <w:szCs w:val="32"/>
        </w:rPr>
        <w:t>拓展</w:t>
      </w:r>
      <w:r>
        <w:rPr>
          <w:rFonts w:ascii="仿宋_GB2312" w:hAnsi="仿宋_GB2312" w:cs="仿宋_GB2312"/>
          <w:szCs w:val="32"/>
        </w:rPr>
        <w:t>帮扶领域，</w:t>
      </w:r>
      <w:r>
        <w:rPr>
          <w:rFonts w:hint="eastAsia" w:ascii="仿宋_GB2312" w:hAnsi="仿宋_GB2312" w:cs="仿宋_GB2312"/>
          <w:szCs w:val="32"/>
        </w:rPr>
        <w:t>加强</w:t>
      </w:r>
      <w:r>
        <w:rPr>
          <w:rFonts w:ascii="仿宋_GB2312" w:hAnsi="仿宋_GB2312" w:cs="仿宋_GB2312"/>
          <w:szCs w:val="32"/>
        </w:rPr>
        <w:t>产业合作、资源互补、劳务对接、人才交流，动员全社会参与，</w:t>
      </w:r>
      <w:r>
        <w:rPr>
          <w:rFonts w:hint="eastAsia" w:ascii="仿宋_GB2312" w:hAnsi="仿宋_GB2312" w:cs="仿宋_GB2312"/>
          <w:szCs w:val="32"/>
        </w:rPr>
        <w:t>助力凌云县、乐业县巩固拓展脱贫攻坚成果，推动</w:t>
      </w:r>
      <w:r>
        <w:rPr>
          <w:rFonts w:ascii="仿宋_GB2312" w:hAnsi="仿宋_GB2312" w:cs="仿宋_GB2312"/>
          <w:szCs w:val="32"/>
        </w:rPr>
        <w:t>乡村全面</w:t>
      </w:r>
      <w:r>
        <w:rPr>
          <w:rFonts w:hint="eastAsia" w:ascii="仿宋_GB2312" w:hAnsi="仿宋_GB2312" w:cs="仿宋_GB2312"/>
          <w:szCs w:val="32"/>
        </w:rPr>
        <w:t>振兴，为</w:t>
      </w:r>
      <w:r>
        <w:rPr>
          <w:rFonts w:ascii="仿宋_GB2312" w:hAnsi="仿宋_GB2312" w:cs="仿宋_GB2312"/>
          <w:szCs w:val="32"/>
        </w:rPr>
        <w:t>全面建设社会主义</w:t>
      </w:r>
      <w:r>
        <w:rPr>
          <w:rFonts w:hint="eastAsia" w:ascii="仿宋_GB2312" w:hAnsi="仿宋_GB2312" w:cs="仿宋_GB2312"/>
          <w:szCs w:val="32"/>
        </w:rPr>
        <w:t>现代化</w:t>
      </w:r>
      <w:r>
        <w:rPr>
          <w:rFonts w:ascii="仿宋_GB2312" w:hAnsi="仿宋_GB2312" w:cs="仿宋_GB2312"/>
          <w:szCs w:val="32"/>
        </w:rPr>
        <w:t>国家贡献</w:t>
      </w:r>
      <w:r>
        <w:rPr>
          <w:rFonts w:hint="eastAsia" w:ascii="仿宋_GB2312" w:hAnsi="仿宋_GB2312" w:cs="仿宋_GB2312"/>
          <w:szCs w:val="32"/>
        </w:rPr>
        <w:t>盐田</w:t>
      </w:r>
      <w:r>
        <w:rPr>
          <w:rFonts w:ascii="仿宋_GB2312" w:hAnsi="仿宋_GB2312" w:cs="仿宋_GB2312"/>
          <w:szCs w:val="32"/>
        </w:rPr>
        <w:t>力量。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（二）目标</w:t>
      </w:r>
      <w:r>
        <w:rPr>
          <w:rFonts w:ascii="楷体_GB2312" w:hAnsi="楷体_GB2312" w:eastAsia="楷体_GB2312" w:cs="楷体_GB2312"/>
          <w:szCs w:val="32"/>
        </w:rPr>
        <w:t>任务</w:t>
      </w:r>
      <w:r>
        <w:rPr>
          <w:rFonts w:hint="eastAsia" w:ascii="楷体_GB2312" w:hAnsi="楷体_GB2312" w:eastAsia="楷体_GB2312" w:cs="楷体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“十四五”期间，按照5年过渡期的要求，坚持“当地所需、盐田所能”原则，帮扶</w:t>
      </w:r>
      <w:r>
        <w:rPr>
          <w:rFonts w:ascii="仿宋_GB2312" w:hAnsi="仿宋_GB2312" w:cs="仿宋_GB2312"/>
          <w:szCs w:val="32"/>
        </w:rPr>
        <w:t>工作重点从</w:t>
      </w:r>
      <w:r>
        <w:rPr>
          <w:rFonts w:hint="eastAsia" w:ascii="仿宋_GB2312" w:hAnsi="仿宋_GB2312" w:cs="仿宋_GB2312"/>
          <w:szCs w:val="32"/>
        </w:rPr>
        <w:t>支持</w:t>
      </w:r>
      <w:r>
        <w:rPr>
          <w:rFonts w:ascii="仿宋_GB2312" w:hAnsi="仿宋_GB2312" w:cs="仿宋_GB2312"/>
          <w:szCs w:val="32"/>
        </w:rPr>
        <w:t>脱贫攻坚转向巩固拓展脱贫攻坚成果和全面推进乡村振兴，保持资金投入力度和干部人才选派力度，加强产业协作、劳务协作和</w:t>
      </w:r>
      <w:r>
        <w:rPr>
          <w:rFonts w:hint="eastAsia" w:ascii="仿宋_GB2312" w:hAnsi="仿宋_GB2312" w:cs="仿宋_GB2312"/>
          <w:szCs w:val="32"/>
        </w:rPr>
        <w:t>消费</w:t>
      </w:r>
      <w:r>
        <w:rPr>
          <w:rFonts w:ascii="仿宋_GB2312" w:hAnsi="仿宋_GB2312" w:cs="仿宋_GB2312"/>
          <w:szCs w:val="32"/>
        </w:rPr>
        <w:t>协作，</w:t>
      </w:r>
      <w:r>
        <w:rPr>
          <w:rFonts w:hint="eastAsia" w:ascii="仿宋_GB2312" w:hAnsi="仿宋_GB2312" w:cs="仿宋_GB2312"/>
          <w:szCs w:val="32"/>
        </w:rPr>
        <w:t>推动凌云县、乐业县脱贫攻坚成果持续巩固，乡村产业进一步发展，农村基础设施和基本公共服务水平进一步提升，农村生活设施便利化进一步提高，农民收入进一步增加，农民获得感、幸福感、安全感明显加强</w:t>
      </w:r>
      <w:r>
        <w:rPr>
          <w:rFonts w:ascii="仿宋_GB2312" w:hAnsi="仿宋_GB2312" w:cs="仿宋_GB231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二、结对关系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（三）区县结对安排</w:t>
      </w:r>
      <w:r>
        <w:rPr>
          <w:rFonts w:ascii="楷体_GB2312" w:hAnsi="楷体_GB2312" w:eastAsia="楷体_GB2312" w:cs="楷体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根据市里</w:t>
      </w:r>
      <w:r>
        <w:rPr>
          <w:rFonts w:ascii="仿宋_GB2312" w:hAnsi="仿宋_GB2312" w:cs="仿宋_GB2312"/>
          <w:szCs w:val="32"/>
        </w:rPr>
        <w:t>统筹安排，</w:t>
      </w:r>
      <w:r>
        <w:rPr>
          <w:rFonts w:hint="eastAsia" w:ascii="仿宋_GB2312" w:hAnsi="仿宋_GB2312" w:cs="仿宋_GB2312"/>
          <w:szCs w:val="32"/>
        </w:rPr>
        <w:t>盐田区结对百色市凌云县、乐业县。</w:t>
      </w:r>
      <w:r>
        <w:rPr>
          <w:rFonts w:ascii="仿宋_GB2312" w:hAnsi="仿宋_GB2312" w:cs="仿宋_GB2312"/>
          <w:szCs w:val="32"/>
        </w:rPr>
        <w:t>按照</w:t>
      </w:r>
      <w:r>
        <w:rPr>
          <w:rFonts w:hint="eastAsia" w:ascii="仿宋_GB2312" w:hAnsi="仿宋_GB2312" w:cs="仿宋_GB2312"/>
          <w:szCs w:val="32"/>
        </w:rPr>
        <w:t>“</w:t>
      </w:r>
      <w:r>
        <w:rPr>
          <w:rFonts w:ascii="仿宋_GB2312" w:hAnsi="仿宋_GB2312" w:cs="仿宋_GB2312"/>
          <w:szCs w:val="32"/>
        </w:rPr>
        <w:t>大稳定、小调整</w:t>
      </w:r>
      <w:r>
        <w:rPr>
          <w:rFonts w:hint="eastAsia" w:ascii="仿宋_GB2312" w:hAnsi="仿宋_GB2312" w:cs="仿宋_GB2312"/>
          <w:szCs w:val="32"/>
        </w:rPr>
        <w:t>”、保持原有工作机制、结对关系、帮扶政策总体不变的</w:t>
      </w:r>
      <w:r>
        <w:rPr>
          <w:rFonts w:ascii="仿宋_GB2312" w:hAnsi="仿宋_GB2312" w:cs="仿宋_GB2312"/>
          <w:szCs w:val="32"/>
        </w:rPr>
        <w:t>原则</w:t>
      </w:r>
      <w:r>
        <w:rPr>
          <w:rFonts w:hint="eastAsia" w:ascii="仿宋_GB2312" w:hAnsi="仿宋_GB2312" w:cs="仿宋_GB2312"/>
          <w:szCs w:val="32"/>
        </w:rPr>
        <w:t>，继续安排盐田区属学校、医院、街道、社区、企业、社会组织参与对口广西凌云县、乐业县东西部协作结对帮扶工作，支持配合当地围绕乡村振兴开展协作共建。具体安排如下：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2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凌云县</w:t>
      </w:r>
      <w:r>
        <w:rPr>
          <w:rFonts w:hint="eastAsia" w:ascii="仿宋_GB2312" w:hAnsi="仿宋_GB2312" w:cs="仿宋_GB231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（1）学校、医院结对：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——盐田高级中学结对凌云中学。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——盐田田东中学结对凌云县第二中学。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——市儿童医院结对凌云县人民医院</w:t>
      </w:r>
      <w:r>
        <w:rPr>
          <w:rFonts w:hint="eastAsia" w:ascii="楷体_GB2312" w:hAnsi="楷体_GB2312" w:eastAsia="楷体_GB2312" w:cs="楷体_GB2312"/>
          <w:szCs w:val="32"/>
        </w:rPr>
        <w:t>（由市卫健委统筹）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（2）脱贫镇、村结对：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left="1280" w:leftChars="200" w:hanging="640" w:hanging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——海山街道结对凌云县泗城镇；同时安排一个社区结对凌云县泗城镇上蒙村。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left="1280" w:leftChars="200" w:hanging="640" w:hanging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——梅沙街道结对凌云县伶站瑶族乡；同时安排一个社区结对凌云县伶站瑶族乡浩坤村。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——区城建集团结对凌云县下甲镇平怀村。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——深沙保集团结对凌云县加尤镇磨贤村。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——盐田区工商联（总商会）结对凌云县逻楼镇快村村。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2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乐业县</w:t>
      </w:r>
      <w:r>
        <w:rPr>
          <w:rFonts w:hint="eastAsia" w:ascii="仿宋_GB2312" w:hAnsi="仿宋_GB2312" w:cs="仿宋_GB231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（1）学校、医院结对：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——盐田区实验学校结对乐业县第一中学。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——盐田区梅沙未来学校结对乐业县城第二小学。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——盐田区人民医院结对乐业县人民医院。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（2）脱贫镇、村结对：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left="1280" w:leftChars="200" w:hanging="640" w:hanging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——沙头角街道结对乐业县甘田镇；同时安排一个社区结对乐业县甘田镇夏福村。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left="1280" w:leftChars="200" w:hanging="640" w:hanging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——盐田街道结对乐业县新化镇；同时安排一个社区结对乐业县新化镇连篆村。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——沙商贸公司结对乐业县甘田镇九洞村。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——盐田国投公司结对乐业县新化镇林立村。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——盐田区工商联（总商会）结对乐业县新化镇谐里村。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楷体_GB2312" w:hAnsi="楷体_GB2312" w:eastAsia="楷体_GB2312" w:cs="楷体_GB2312"/>
          <w:szCs w:val="24"/>
        </w:rPr>
      </w:pPr>
      <w:r>
        <w:rPr>
          <w:rFonts w:hint="eastAsia" w:ascii="楷体_GB2312" w:hAnsi="楷体_GB2312" w:eastAsia="楷体_GB2312" w:cs="楷体_GB2312"/>
          <w:szCs w:val="24"/>
        </w:rPr>
        <w:t>（区委统战部、区教育局、区卫生健康局、各街道、区属企业）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</w:t>
      </w:r>
      <w:r>
        <w:rPr>
          <w:rFonts w:ascii="黑体" w:hAnsi="黑体" w:eastAsia="黑体" w:cs="黑体"/>
          <w:szCs w:val="32"/>
        </w:rPr>
        <w:t>、</w:t>
      </w:r>
      <w:r>
        <w:rPr>
          <w:rFonts w:hint="eastAsia" w:ascii="黑体" w:hAnsi="黑体" w:eastAsia="黑体" w:cs="黑体"/>
          <w:szCs w:val="32"/>
        </w:rPr>
        <w:t>主要</w:t>
      </w:r>
      <w:r>
        <w:rPr>
          <w:rFonts w:ascii="黑体" w:hAnsi="黑体" w:eastAsia="黑体" w:cs="黑体"/>
          <w:szCs w:val="32"/>
        </w:rPr>
        <w:t>任务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楷体_GB2312" w:hAnsi="仿宋_GB2312" w:eastAsia="楷体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（四）加强</w:t>
      </w:r>
      <w:r>
        <w:rPr>
          <w:rFonts w:ascii="楷体_GB2312" w:hAnsi="楷体_GB2312" w:eastAsia="楷体_GB2312" w:cs="楷体_GB2312"/>
          <w:szCs w:val="32"/>
        </w:rPr>
        <w:t>劳务协作。</w:t>
      </w:r>
      <w:r>
        <w:rPr>
          <w:rFonts w:hint="eastAsia" w:ascii="仿宋_GB2312" w:hAnsi="仿宋_GB2312" w:cs="仿宋_GB2312"/>
          <w:szCs w:val="32"/>
        </w:rPr>
        <w:t>进一步完善与凌云县、乐业县劳务输出对接机制，推进外省</w:t>
      </w:r>
      <w:r>
        <w:rPr>
          <w:rFonts w:ascii="仿宋_GB2312" w:hAnsi="仿宋_GB2312" w:cs="仿宋_GB2312"/>
          <w:szCs w:val="32"/>
        </w:rPr>
        <w:t>在</w:t>
      </w:r>
      <w:r>
        <w:rPr>
          <w:rFonts w:hint="eastAsia" w:ascii="仿宋_GB2312" w:hAnsi="仿宋_GB2312" w:cs="仿宋_GB2312"/>
          <w:szCs w:val="32"/>
        </w:rPr>
        <w:t>盐</w:t>
      </w:r>
      <w:r>
        <w:rPr>
          <w:rFonts w:ascii="仿宋_GB2312" w:hAnsi="仿宋_GB2312" w:cs="仿宋_GB2312"/>
          <w:szCs w:val="32"/>
        </w:rPr>
        <w:t>务工人员实名制</w:t>
      </w:r>
      <w:r>
        <w:rPr>
          <w:rFonts w:hint="eastAsia" w:ascii="仿宋_GB2312" w:hAnsi="仿宋_GB2312" w:cs="仿宋_GB2312"/>
          <w:szCs w:val="32"/>
        </w:rPr>
        <w:t>管理服务，提高农村</w:t>
      </w:r>
      <w:r>
        <w:rPr>
          <w:rFonts w:ascii="仿宋_GB2312" w:hAnsi="仿宋_GB2312" w:cs="仿宋_GB2312"/>
          <w:szCs w:val="32"/>
        </w:rPr>
        <w:t>劳动力（</w:t>
      </w:r>
      <w:r>
        <w:rPr>
          <w:rFonts w:hint="eastAsia" w:ascii="仿宋_GB2312" w:hAnsi="仿宋_GB2312" w:cs="仿宋_GB2312"/>
          <w:szCs w:val="32"/>
        </w:rPr>
        <w:t>特别</w:t>
      </w:r>
      <w:r>
        <w:rPr>
          <w:rFonts w:ascii="仿宋_GB2312" w:hAnsi="仿宋_GB2312" w:cs="仿宋_GB2312"/>
          <w:szCs w:val="32"/>
        </w:rPr>
        <w:t>是脱贫人口</w:t>
      </w:r>
      <w:r>
        <w:rPr>
          <w:rFonts w:hint="eastAsia" w:ascii="仿宋_GB2312" w:hAnsi="仿宋_GB2312" w:cs="仿宋_GB2312"/>
          <w:szCs w:val="32"/>
        </w:rPr>
        <w:t>）劳务输出组织化程度</w:t>
      </w:r>
      <w:r>
        <w:rPr>
          <w:rFonts w:hint="eastAsia" w:ascii="仿宋_GB2312" w:hAnsi="仿宋_GB2312" w:cs="Times New Roman"/>
          <w:szCs w:val="24"/>
        </w:rPr>
        <w:t>和服务水平</w:t>
      </w:r>
      <w:r>
        <w:rPr>
          <w:rFonts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结合实际需要联合凌云县、乐业县互设劳务工作服务站（点），扩大公共就业服务有效供给，持续开展劳务输出，促进脱贫劳动力、边缘易致贫户劳动力稳岗就业</w:t>
      </w:r>
      <w:r>
        <w:rPr>
          <w:rFonts w:ascii="仿宋_GB2312" w:hAnsi="仿宋_GB2312" w:cs="仿宋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持续举办“春风行动”专场招聘活动，建立健全线上线下求职就业平台建设，促进供需有效对接。帮助两县农村劳动力转移到广东就业每年不少于640人，其中帮助两县脱贫人口转移到广东就业每年不少于350人。把吸纳外省脱贫劳动力较为集中的用工企业作为服务对象</w:t>
      </w:r>
      <w:r>
        <w:rPr>
          <w:rFonts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加强企业用工指导和政策宣介，</w:t>
      </w:r>
      <w:r>
        <w:rPr>
          <w:rFonts w:ascii="仿宋_GB2312" w:hAnsi="仿宋_GB2312" w:cs="仿宋_GB2312"/>
          <w:szCs w:val="32"/>
        </w:rPr>
        <w:t>落实</w:t>
      </w:r>
      <w:r>
        <w:rPr>
          <w:rFonts w:hint="eastAsia" w:ascii="仿宋_GB2312" w:hAnsi="仿宋_GB2312" w:cs="仿宋_GB2312"/>
          <w:szCs w:val="32"/>
        </w:rPr>
        <w:t>援企稳岗、减税降费、扶持补贴等优惠政策，简化相关补贴申请流程</w:t>
      </w:r>
      <w:r>
        <w:rPr>
          <w:rFonts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以稳企带动稳岗。针对脱贫劳动力的就业情况和培训需求，结合实施“粤菜师傅”“广东技工”“南粤家政”三项工程，多渠道提高劳动力技能水平和就业能力。鼓励支持凌云、乐业学生来深圳中等职业学校、技工院校就读。发动企事业单位、慈善机构、社会组织等社会力量，围绕“衣食住行”等方面，不定期开展人文关怀和送温暖活动，促进脱贫劳动力在盐稳定就业和融入发展。支持当地龙头企业等经营主体带动就业，发挥帮扶车间作用，接续帮扶脱贫劳动力就近就业。帮助两县脱贫人口在广西就近就地就业每年不少于430人。</w:t>
      </w:r>
      <w:r>
        <w:rPr>
          <w:rFonts w:hint="eastAsia" w:ascii="楷体_GB2312" w:hAnsi="仿宋_GB2312" w:eastAsia="楷体_GB2312" w:cs="仿宋_GB2312"/>
          <w:szCs w:val="32"/>
        </w:rPr>
        <w:t>（区人力资源局、区教育局、区</w:t>
      </w:r>
      <w:r>
        <w:rPr>
          <w:rFonts w:ascii="楷体_GB2312" w:hAnsi="仿宋_GB2312" w:eastAsia="楷体_GB2312" w:cs="仿宋_GB2312"/>
          <w:szCs w:val="32"/>
        </w:rPr>
        <w:t>工业和信息化局</w:t>
      </w:r>
      <w:r>
        <w:rPr>
          <w:rFonts w:hint="eastAsia" w:ascii="楷体_GB2312" w:hAnsi="仿宋_GB2312" w:eastAsia="楷体_GB2312" w:cs="仿宋_GB2312"/>
          <w:szCs w:val="32"/>
        </w:rPr>
        <w:t>、挂职干部）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楷体_GB2312" w:hAnsi="仿宋_GB2312" w:eastAsia="楷体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（五）加强</w:t>
      </w:r>
      <w:r>
        <w:rPr>
          <w:rFonts w:ascii="楷体_GB2312" w:hAnsi="楷体_GB2312" w:eastAsia="楷体_GB2312" w:cs="楷体_GB2312"/>
          <w:szCs w:val="32"/>
        </w:rPr>
        <w:t>产业</w:t>
      </w:r>
      <w:r>
        <w:rPr>
          <w:rFonts w:hint="eastAsia" w:ascii="楷体_GB2312" w:hAnsi="楷体_GB2312" w:eastAsia="楷体_GB2312" w:cs="楷体_GB2312"/>
          <w:szCs w:val="32"/>
        </w:rPr>
        <w:t>合作</w:t>
      </w:r>
      <w:r>
        <w:rPr>
          <w:rFonts w:ascii="楷体_GB2312" w:hAnsi="楷体_GB2312" w:eastAsia="楷体_GB2312" w:cs="楷体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坚持市场化导向，以凌云县、乐业县资源禀赋和盐田创新优势为基础，强化以企业合作为载体的帮扶协作。支持凌云、乐业提高产业园区管理水平，在园区规划、运营建设、人才培养等方面深化合作，打造良好的营商环境。积极推动东部传统制造业、加工贸易、电子装配等劳动密集型企业有序梯度转移。学习推广广东现代农业产业园建设的经验做法，支持与被帮扶县共建乡村</w:t>
      </w:r>
      <w:r>
        <w:rPr>
          <w:rFonts w:ascii="仿宋_GB2312" w:hAnsi="仿宋_GB2312" w:cs="仿宋_GB2312"/>
          <w:szCs w:val="32"/>
        </w:rPr>
        <w:t>振兴现代</w:t>
      </w:r>
      <w:r>
        <w:rPr>
          <w:rFonts w:hint="eastAsia" w:ascii="仿宋_GB2312" w:hAnsi="仿宋_GB2312" w:cs="仿宋_GB2312"/>
          <w:szCs w:val="32"/>
        </w:rPr>
        <w:t>产业园，助力凌云、乐业</w:t>
      </w:r>
      <w:r>
        <w:rPr>
          <w:rFonts w:ascii="仿宋_GB2312" w:hAnsi="仿宋_GB2312" w:cs="仿宋_GB2312"/>
          <w:szCs w:val="32"/>
        </w:rPr>
        <w:t>将特色优势产业</w:t>
      </w:r>
      <w:r>
        <w:rPr>
          <w:rFonts w:hint="eastAsia" w:ascii="仿宋_GB2312" w:hAnsi="仿宋_GB2312" w:cs="仿宋_GB2312"/>
          <w:szCs w:val="32"/>
        </w:rPr>
        <w:t>打造</w:t>
      </w:r>
      <w:r>
        <w:rPr>
          <w:rFonts w:ascii="仿宋_GB2312" w:hAnsi="仿宋_GB2312" w:cs="仿宋_GB2312"/>
          <w:szCs w:val="32"/>
        </w:rPr>
        <w:t>成县域支柱产业</w:t>
      </w:r>
      <w:r>
        <w:rPr>
          <w:rFonts w:hint="eastAsia" w:ascii="仿宋_GB2312" w:hAnsi="仿宋_GB2312" w:cs="仿宋_GB2312"/>
          <w:szCs w:val="32"/>
        </w:rPr>
        <w:t>。积极引导东部农业龙头企业到凌云、乐业投资建设种养殖标准化生产、加工基地，完善利益联结帮扶机制</w:t>
      </w:r>
      <w:r>
        <w:rPr>
          <w:rFonts w:ascii="仿宋_GB2312" w:hAnsi="仿宋_GB2312" w:cs="仿宋_GB2312"/>
          <w:szCs w:val="32"/>
        </w:rPr>
        <w:t>，带动</w:t>
      </w:r>
      <w:r>
        <w:rPr>
          <w:rFonts w:hint="eastAsia" w:ascii="仿宋_GB2312" w:hAnsi="仿宋_GB2312" w:cs="仿宋_GB2312"/>
          <w:szCs w:val="32"/>
        </w:rPr>
        <w:t>周边群众</w:t>
      </w:r>
      <w:r>
        <w:rPr>
          <w:rFonts w:ascii="仿宋_GB2312" w:hAnsi="仿宋_GB2312" w:cs="仿宋_GB2312"/>
          <w:szCs w:val="32"/>
        </w:rPr>
        <w:t>就业增收。</w:t>
      </w:r>
      <w:r>
        <w:rPr>
          <w:rFonts w:hint="eastAsia" w:ascii="仿宋_GB2312" w:hAnsi="仿宋_GB2312" w:cs="仿宋_GB2312"/>
          <w:szCs w:val="32"/>
        </w:rPr>
        <w:t>顺应城乡居民消费拓展升级趋势，协助深入发掘农业农村的生态涵养、休闲观光、文化体验、健康养老等多种功能和多重价值，增加乡村生态产品和服务供给，促进脱贫地区一二三产业融合发展。依托“一带一路”、区域全面经济伙伴关系协定（RCEP）、粤桂</w:t>
      </w:r>
      <w:r>
        <w:rPr>
          <w:rFonts w:ascii="仿宋_GB2312" w:hAnsi="仿宋_GB2312" w:cs="仿宋_GB2312"/>
          <w:szCs w:val="32"/>
        </w:rPr>
        <w:t>黔</w:t>
      </w:r>
      <w:r>
        <w:rPr>
          <w:rFonts w:hint="eastAsia" w:ascii="仿宋_GB2312" w:hAnsi="仿宋_GB2312" w:cs="仿宋_GB2312"/>
          <w:szCs w:val="32"/>
        </w:rPr>
        <w:t>高铁</w:t>
      </w:r>
      <w:r>
        <w:rPr>
          <w:rFonts w:ascii="仿宋_GB2312" w:hAnsi="仿宋_GB2312" w:cs="仿宋_GB2312"/>
          <w:szCs w:val="32"/>
        </w:rPr>
        <w:t>经济带和</w:t>
      </w:r>
      <w:r>
        <w:rPr>
          <w:rFonts w:hint="eastAsia" w:ascii="仿宋_GB2312" w:hAnsi="仿宋_GB2312" w:cs="仿宋_GB2312"/>
          <w:szCs w:val="32"/>
        </w:rPr>
        <w:t>粤港澳大湾区等战略合作平台，协作双方通过共同举办各类产品展示会、博览会等活动，撬动和引导社会资本参与产业发展，深化两地企业、行业协会等的优势互补，实现产业对接、技术合作、信息互通、市场共享。</w:t>
      </w:r>
      <w:r>
        <w:rPr>
          <w:rFonts w:hint="eastAsia" w:ascii="楷体_GB2312" w:hAnsi="仿宋_GB2312" w:eastAsia="楷体_GB2312" w:cs="仿宋_GB2312"/>
          <w:szCs w:val="32"/>
        </w:rPr>
        <w:t>（挂职干部、区</w:t>
      </w:r>
      <w:r>
        <w:rPr>
          <w:rFonts w:ascii="楷体_GB2312" w:hAnsi="仿宋_GB2312" w:eastAsia="楷体_GB2312" w:cs="仿宋_GB2312"/>
          <w:szCs w:val="32"/>
        </w:rPr>
        <w:t>工业和信息化局、</w:t>
      </w:r>
      <w:r>
        <w:rPr>
          <w:rFonts w:hint="eastAsia" w:ascii="楷体_GB2312" w:hAnsi="仿宋_GB2312" w:eastAsia="楷体_GB2312" w:cs="仿宋_GB2312"/>
          <w:szCs w:val="32"/>
        </w:rPr>
        <w:t>区科技创新局、区文化广电旅游体育局、区</w:t>
      </w:r>
      <w:r>
        <w:rPr>
          <w:rFonts w:ascii="楷体_GB2312" w:hAnsi="仿宋_GB2312" w:eastAsia="楷体_GB2312" w:cs="仿宋_GB2312"/>
          <w:szCs w:val="32"/>
        </w:rPr>
        <w:t>国资</w:t>
      </w:r>
      <w:r>
        <w:rPr>
          <w:rFonts w:hint="eastAsia" w:ascii="楷体_GB2312" w:hAnsi="仿宋_GB2312" w:eastAsia="楷体_GB2312" w:cs="仿宋_GB2312"/>
          <w:szCs w:val="32"/>
        </w:rPr>
        <w:t>局</w:t>
      </w:r>
      <w:r>
        <w:rPr>
          <w:rFonts w:ascii="楷体_GB2312" w:hAnsi="仿宋_GB2312" w:eastAsia="楷体_GB2312" w:cs="仿宋_GB2312"/>
          <w:szCs w:val="32"/>
        </w:rPr>
        <w:t>、</w:t>
      </w:r>
      <w:r>
        <w:rPr>
          <w:rFonts w:hint="eastAsia" w:ascii="楷体_GB2312" w:hAnsi="仿宋_GB2312" w:eastAsia="楷体_GB2312" w:cs="仿宋_GB2312"/>
          <w:szCs w:val="32"/>
        </w:rPr>
        <w:t>盐田市场监管局、区委统战部）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（六）加强</w:t>
      </w:r>
      <w:r>
        <w:rPr>
          <w:rFonts w:ascii="楷体_GB2312" w:hAnsi="楷体_GB2312" w:eastAsia="楷体_GB2312" w:cs="楷体_GB2312"/>
          <w:szCs w:val="32"/>
        </w:rPr>
        <w:t>人才支援。</w:t>
      </w:r>
      <w:r>
        <w:rPr>
          <w:rFonts w:hint="eastAsia" w:ascii="仿宋_GB2312" w:hAnsi="仿宋_GB2312" w:cs="仿宋_GB2312"/>
          <w:szCs w:val="32"/>
        </w:rPr>
        <w:t>完善人才支援体系，进一步优化“组团式”人才支援。在向结对的凌云</w:t>
      </w:r>
      <w:r>
        <w:rPr>
          <w:rFonts w:ascii="仿宋_GB2312" w:hAnsi="仿宋_GB2312" w:cs="仿宋_GB2312"/>
          <w:szCs w:val="32"/>
        </w:rPr>
        <w:t>县</w:t>
      </w:r>
      <w:r>
        <w:rPr>
          <w:rFonts w:hint="eastAsia" w:ascii="仿宋_GB2312" w:hAnsi="仿宋_GB2312" w:cs="仿宋_GB2312"/>
          <w:szCs w:val="32"/>
        </w:rPr>
        <w:t>、乐业</w:t>
      </w:r>
      <w:r>
        <w:rPr>
          <w:rFonts w:ascii="仿宋_GB2312" w:hAnsi="仿宋_GB2312" w:cs="仿宋_GB2312"/>
          <w:szCs w:val="32"/>
        </w:rPr>
        <w:t>县</w:t>
      </w:r>
      <w:r>
        <w:rPr>
          <w:rFonts w:hint="eastAsia" w:ascii="仿宋_GB2312" w:hAnsi="仿宋_GB2312" w:cs="仿宋_GB2312"/>
          <w:szCs w:val="32"/>
        </w:rPr>
        <w:t>各选派1名驻县干部的基础上，再增派1名中短期挂职干部，确保每个县不少于2名挂职干部。继续组织学校、医院互相建立结对关系，每年选派18名优秀教师、医生到凌云、乐业开展支教支医活动，同时支持开展远程教育、医疗和服务。加强干部培训力度，充分利用我区党校教育资源和协作</w:t>
      </w:r>
      <w:r>
        <w:rPr>
          <w:rFonts w:ascii="仿宋_GB2312" w:hAnsi="仿宋_GB2312" w:cs="仿宋_GB2312"/>
          <w:szCs w:val="32"/>
        </w:rPr>
        <w:t>双方</w:t>
      </w:r>
      <w:r>
        <w:rPr>
          <w:rFonts w:hint="eastAsia" w:ascii="仿宋_GB2312" w:hAnsi="仿宋_GB2312" w:cs="仿宋_GB2312"/>
          <w:szCs w:val="32"/>
        </w:rPr>
        <w:t>现有网络教育资源，每年为凌云、乐业两县各举办1-2期干部培训班，协作双方做好协调沟通，携手做好干部培训事宜。协助</w:t>
      </w:r>
      <w:r>
        <w:rPr>
          <w:rFonts w:ascii="仿宋_GB2312" w:hAnsi="仿宋_GB2312" w:cs="仿宋_GB2312"/>
          <w:szCs w:val="32"/>
        </w:rPr>
        <w:t>当地</w:t>
      </w:r>
      <w:r>
        <w:rPr>
          <w:rFonts w:hint="eastAsia" w:ascii="仿宋_GB2312" w:hAnsi="仿宋_GB2312" w:cs="仿宋_GB2312"/>
          <w:szCs w:val="32"/>
        </w:rPr>
        <w:t>分层分类开展培训，培养造就一批能够引领一方、带动一片的实用人才。组织当地干部、专业技术人才到我区挂职锻炼和跟岗学习交流，促进两地人才思路互动、观念互通、素质互进、作风互鉴。</w:t>
      </w:r>
      <w:r>
        <w:rPr>
          <w:rFonts w:hint="eastAsia" w:ascii="楷体_GB2312" w:hAnsi="仿宋_GB2312" w:eastAsia="楷体_GB2312" w:cs="仿宋_GB2312"/>
          <w:szCs w:val="32"/>
        </w:rPr>
        <w:t>（区委组织部、区委党校、区教育局、区卫生健康局、盐田市场监管局</w:t>
      </w:r>
      <w:r>
        <w:rPr>
          <w:rFonts w:ascii="楷体_GB2312" w:hAnsi="仿宋_GB2312" w:eastAsia="楷体_GB2312" w:cs="仿宋_GB2312"/>
          <w:szCs w:val="32"/>
        </w:rPr>
        <w:t>、</w:t>
      </w:r>
      <w:r>
        <w:rPr>
          <w:rFonts w:hint="eastAsia" w:ascii="楷体_GB2312" w:hAnsi="仿宋_GB2312" w:eastAsia="楷体_GB2312" w:cs="仿宋_GB2312"/>
          <w:szCs w:val="32"/>
        </w:rPr>
        <w:t>区</w:t>
      </w:r>
      <w:r>
        <w:rPr>
          <w:rFonts w:ascii="楷体_GB2312" w:hAnsi="仿宋_GB2312" w:eastAsia="楷体_GB2312" w:cs="仿宋_GB2312"/>
          <w:szCs w:val="32"/>
        </w:rPr>
        <w:t>工业和信息化局</w:t>
      </w:r>
      <w:r>
        <w:rPr>
          <w:rFonts w:hint="eastAsia" w:ascii="楷体_GB2312" w:hAnsi="仿宋_GB2312" w:eastAsia="楷体_GB2312" w:cs="仿宋_GB2312"/>
          <w:szCs w:val="32"/>
        </w:rPr>
        <w:t>、挂职干部）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楷体_GB2312" w:hAnsi="仿宋_GB2312" w:eastAsia="楷体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（七）助力</w:t>
      </w:r>
      <w:r>
        <w:rPr>
          <w:rFonts w:ascii="楷体_GB2312" w:hAnsi="楷体_GB2312" w:eastAsia="楷体_GB2312" w:cs="楷体_GB2312"/>
          <w:szCs w:val="32"/>
        </w:rPr>
        <w:t>开展</w:t>
      </w:r>
      <w:r>
        <w:rPr>
          <w:rFonts w:hint="eastAsia" w:ascii="楷体_GB2312" w:hAnsi="楷体_GB2312" w:eastAsia="楷体_GB2312" w:cs="楷体_GB2312"/>
          <w:szCs w:val="32"/>
        </w:rPr>
        <w:t>乡村</w:t>
      </w:r>
      <w:r>
        <w:rPr>
          <w:rFonts w:ascii="楷体_GB2312" w:hAnsi="楷体_GB2312" w:eastAsia="楷体_GB2312" w:cs="楷体_GB2312"/>
          <w:szCs w:val="32"/>
        </w:rPr>
        <w:t>建设行动。</w:t>
      </w:r>
      <w:r>
        <w:rPr>
          <w:rFonts w:hint="eastAsia" w:ascii="仿宋_GB2312" w:hAnsi="仿宋_GB2312" w:cs="仿宋_GB2312"/>
          <w:szCs w:val="32"/>
        </w:rPr>
        <w:t>协助凌云、乐业</w:t>
      </w:r>
      <w:r>
        <w:rPr>
          <w:rFonts w:ascii="仿宋_GB2312" w:hAnsi="仿宋_GB2312" w:cs="仿宋_GB2312"/>
          <w:szCs w:val="32"/>
        </w:rPr>
        <w:t>加强</w:t>
      </w:r>
      <w:r>
        <w:rPr>
          <w:rFonts w:hint="eastAsia" w:ascii="仿宋_GB2312" w:hAnsi="仿宋_GB2312" w:cs="仿宋_GB2312"/>
          <w:szCs w:val="32"/>
        </w:rPr>
        <w:t>基础设施</w:t>
      </w:r>
      <w:r>
        <w:rPr>
          <w:rFonts w:ascii="仿宋_GB2312" w:hAnsi="仿宋_GB2312" w:cs="仿宋_GB2312"/>
          <w:szCs w:val="32"/>
        </w:rPr>
        <w:t>建设、改善农村人居环境、</w:t>
      </w:r>
      <w:r>
        <w:rPr>
          <w:rFonts w:hint="eastAsia" w:ascii="仿宋_GB2312" w:hAnsi="仿宋_GB2312" w:cs="仿宋_GB2312"/>
          <w:szCs w:val="32"/>
        </w:rPr>
        <w:t>完善</w:t>
      </w:r>
      <w:r>
        <w:rPr>
          <w:rFonts w:ascii="仿宋_GB2312" w:hAnsi="仿宋_GB2312" w:cs="仿宋_GB2312"/>
          <w:szCs w:val="32"/>
        </w:rPr>
        <w:t>公共服务</w:t>
      </w:r>
      <w:r>
        <w:rPr>
          <w:rFonts w:hint="eastAsia" w:ascii="仿宋_GB2312" w:hAnsi="仿宋_GB2312" w:cs="仿宋_GB2312"/>
          <w:szCs w:val="32"/>
        </w:rPr>
        <w:t>和</w:t>
      </w:r>
      <w:r>
        <w:rPr>
          <w:rFonts w:ascii="仿宋_GB2312" w:hAnsi="仿宋_GB2312" w:cs="仿宋_GB2312"/>
          <w:szCs w:val="32"/>
        </w:rPr>
        <w:t>扶持产业发展等，</w:t>
      </w:r>
      <w:r>
        <w:rPr>
          <w:rFonts w:hint="eastAsia" w:ascii="仿宋_GB2312" w:hAnsi="仿宋_GB2312" w:cs="仿宋_GB2312"/>
          <w:szCs w:val="32"/>
        </w:rPr>
        <w:t>助推县域发展能力提升是乡村振兴的重点任务。</w:t>
      </w:r>
      <w:r>
        <w:rPr>
          <w:rFonts w:ascii="仿宋_GB2312" w:hAnsi="仿宋_GB2312" w:cs="仿宋_GB2312"/>
          <w:szCs w:val="32"/>
        </w:rPr>
        <w:t>协助推进村庄规划工作</w:t>
      </w:r>
      <w:r>
        <w:rPr>
          <w:rFonts w:hint="eastAsia" w:ascii="仿宋_GB2312" w:hAnsi="仿宋_GB2312" w:cs="仿宋_GB2312"/>
          <w:szCs w:val="32"/>
        </w:rPr>
        <w:t>，坚持乡村建设是为农民而建，着力保留乡村特色风貌。协助</w:t>
      </w:r>
      <w:r>
        <w:rPr>
          <w:rFonts w:ascii="仿宋_GB2312" w:hAnsi="仿宋_GB2312" w:cs="仿宋_GB2312"/>
          <w:szCs w:val="32"/>
        </w:rPr>
        <w:t>加强</w:t>
      </w:r>
      <w:r>
        <w:rPr>
          <w:rFonts w:hint="eastAsia" w:ascii="仿宋_GB2312" w:hAnsi="仿宋_GB2312" w:cs="仿宋_GB2312"/>
          <w:szCs w:val="32"/>
        </w:rPr>
        <w:t>村庄</w:t>
      </w:r>
      <w:r>
        <w:rPr>
          <w:rFonts w:ascii="仿宋_GB2312" w:hAnsi="仿宋_GB2312" w:cs="仿宋_GB2312"/>
          <w:szCs w:val="32"/>
        </w:rPr>
        <w:t>公共基础设施建设</w:t>
      </w:r>
      <w:r>
        <w:rPr>
          <w:rFonts w:hint="eastAsia" w:ascii="仿宋_GB2312" w:hAnsi="仿宋_GB2312" w:cs="仿宋_GB2312"/>
          <w:szCs w:val="32"/>
        </w:rPr>
        <w:t>，协助</w:t>
      </w:r>
      <w:r>
        <w:rPr>
          <w:rFonts w:ascii="仿宋_GB2312" w:hAnsi="仿宋_GB2312" w:cs="仿宋_GB2312"/>
          <w:szCs w:val="32"/>
        </w:rPr>
        <w:t>完善乡村</w:t>
      </w:r>
      <w:r>
        <w:rPr>
          <w:rFonts w:hint="eastAsia" w:ascii="仿宋_GB2312" w:hAnsi="仿宋_GB2312" w:cs="仿宋_GB2312"/>
          <w:szCs w:val="32"/>
        </w:rPr>
        <w:t>水</w:t>
      </w:r>
      <w:r>
        <w:rPr>
          <w:rFonts w:ascii="仿宋_GB2312" w:hAnsi="仿宋_GB2312" w:cs="仿宋_GB2312"/>
          <w:szCs w:val="32"/>
        </w:rPr>
        <w:t>、电、气、道路、通信、广播电视</w:t>
      </w:r>
      <w:r>
        <w:rPr>
          <w:rFonts w:hint="eastAsia" w:ascii="仿宋_GB2312" w:hAnsi="仿宋_GB2312" w:cs="仿宋_GB2312"/>
          <w:szCs w:val="32"/>
        </w:rPr>
        <w:t>等</w:t>
      </w:r>
      <w:r>
        <w:rPr>
          <w:rFonts w:ascii="仿宋_GB2312" w:hAnsi="仿宋_GB2312" w:cs="仿宋_GB2312"/>
          <w:szCs w:val="32"/>
        </w:rPr>
        <w:t>基础设施，健全运营</w:t>
      </w:r>
      <w:r>
        <w:rPr>
          <w:rFonts w:hint="eastAsia" w:ascii="仿宋_GB2312" w:hAnsi="仿宋_GB2312" w:cs="仿宋_GB2312"/>
          <w:szCs w:val="32"/>
        </w:rPr>
        <w:t>、</w:t>
      </w:r>
      <w:r>
        <w:rPr>
          <w:rFonts w:ascii="仿宋_GB2312" w:hAnsi="仿宋_GB2312" w:cs="仿宋_GB2312"/>
          <w:szCs w:val="32"/>
        </w:rPr>
        <w:t>管护长效机制。</w:t>
      </w:r>
      <w:r>
        <w:rPr>
          <w:rFonts w:hint="eastAsia" w:ascii="仿宋_GB2312" w:hAnsi="仿宋_GB2312" w:cs="仿宋_GB2312"/>
          <w:szCs w:val="32"/>
        </w:rPr>
        <w:t>协助</w:t>
      </w:r>
      <w:r>
        <w:rPr>
          <w:rFonts w:ascii="仿宋_GB2312" w:hAnsi="仿宋_GB2312" w:cs="仿宋_GB2312"/>
          <w:szCs w:val="32"/>
        </w:rPr>
        <w:t>实施农村</w:t>
      </w:r>
      <w:r>
        <w:rPr>
          <w:rFonts w:hint="eastAsia" w:ascii="仿宋_GB2312" w:hAnsi="仿宋_GB2312" w:cs="仿宋_GB2312"/>
          <w:szCs w:val="32"/>
        </w:rPr>
        <w:t>人居</w:t>
      </w:r>
      <w:r>
        <w:rPr>
          <w:rFonts w:ascii="仿宋_GB2312" w:hAnsi="仿宋_GB2312" w:cs="仿宋_GB2312"/>
          <w:szCs w:val="32"/>
        </w:rPr>
        <w:t>环境整治提升行动，</w:t>
      </w:r>
      <w:r>
        <w:rPr>
          <w:rFonts w:hint="eastAsia" w:ascii="仿宋_GB2312" w:hAnsi="仿宋_GB2312" w:cs="仿宋_GB2312"/>
          <w:szCs w:val="32"/>
        </w:rPr>
        <w:t>协助</w:t>
      </w:r>
      <w:r>
        <w:rPr>
          <w:rFonts w:ascii="仿宋_GB2312" w:hAnsi="仿宋_GB2312" w:cs="仿宋_GB2312"/>
          <w:szCs w:val="32"/>
        </w:rPr>
        <w:t>统筹推进农村改厕和污水、黑臭水体治理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ascii="仿宋_GB2312" w:hAnsi="仿宋_GB2312" w:cs="仿宋_GB2312"/>
          <w:szCs w:val="32"/>
        </w:rPr>
        <w:t>健全农村生活垃圾收运处置体系</w:t>
      </w:r>
      <w:r>
        <w:rPr>
          <w:rFonts w:hint="eastAsia" w:ascii="仿宋_GB2312" w:hAnsi="仿宋_GB2312" w:cs="仿宋_GB2312"/>
          <w:szCs w:val="32"/>
        </w:rPr>
        <w:t>。协助</w:t>
      </w:r>
      <w:r>
        <w:rPr>
          <w:rFonts w:ascii="仿宋_GB2312" w:hAnsi="仿宋_GB2312" w:cs="仿宋_GB2312"/>
          <w:szCs w:val="32"/>
        </w:rPr>
        <w:t>推进村庄清洁和绿化行动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ascii="仿宋_GB2312" w:hAnsi="仿宋_GB2312" w:cs="仿宋_GB2312"/>
          <w:szCs w:val="32"/>
        </w:rPr>
        <w:t>创建</w:t>
      </w:r>
      <w:r>
        <w:rPr>
          <w:rFonts w:hint="eastAsia" w:ascii="仿宋_GB2312" w:hAnsi="仿宋_GB2312" w:cs="仿宋_GB2312"/>
          <w:szCs w:val="32"/>
        </w:rPr>
        <w:t>一批</w:t>
      </w:r>
      <w:r>
        <w:rPr>
          <w:rFonts w:ascii="仿宋_GB2312" w:hAnsi="仿宋_GB2312" w:cs="仿宋_GB2312"/>
          <w:szCs w:val="32"/>
        </w:rPr>
        <w:t>美丽宜居村庄和美丽庭院</w:t>
      </w:r>
      <w:r>
        <w:rPr>
          <w:rFonts w:hint="eastAsia" w:ascii="仿宋_GB2312" w:hAnsi="仿宋_GB2312" w:cs="仿宋_GB2312"/>
          <w:szCs w:val="32"/>
        </w:rPr>
        <w:t>示范点。协助提升乡村基本公共服务水平，接续提高农村教育文化、医疗卫生、健康服务、社区养老和关爱妇女儿童等公共服务的供给水平和质量。</w:t>
      </w:r>
      <w:r>
        <w:rPr>
          <w:rFonts w:ascii="仿宋_GB2312" w:hAnsi="仿宋_GB2312" w:cs="仿宋_GB2312"/>
          <w:szCs w:val="32"/>
        </w:rPr>
        <w:t>发挥财政投入引领作用，撬动金融资本、社会力量参与，重点支持乡村产业发展。</w:t>
      </w:r>
      <w:r>
        <w:rPr>
          <w:rFonts w:hint="eastAsia" w:ascii="楷体_GB2312" w:hAnsi="仿宋_GB2312" w:eastAsia="楷体_GB2312" w:cs="仿宋_GB2312"/>
          <w:szCs w:val="32"/>
        </w:rPr>
        <w:t>（挂职干部、区</w:t>
      </w:r>
      <w:r>
        <w:rPr>
          <w:rFonts w:ascii="楷体_GB2312" w:hAnsi="仿宋_GB2312" w:eastAsia="楷体_GB2312" w:cs="仿宋_GB2312"/>
          <w:szCs w:val="32"/>
        </w:rPr>
        <w:t>城管和综合执法局</w:t>
      </w:r>
      <w:r>
        <w:rPr>
          <w:rFonts w:hint="eastAsia" w:ascii="楷体_GB2312" w:hAnsi="仿宋_GB2312" w:eastAsia="楷体_GB2312" w:cs="仿宋_GB2312"/>
          <w:szCs w:val="32"/>
        </w:rPr>
        <w:t>、区教育局</w:t>
      </w:r>
      <w:r>
        <w:rPr>
          <w:rFonts w:ascii="楷体_GB2312" w:hAnsi="仿宋_GB2312" w:eastAsia="楷体_GB2312" w:cs="仿宋_GB2312"/>
          <w:szCs w:val="32"/>
        </w:rPr>
        <w:t>、</w:t>
      </w:r>
      <w:r>
        <w:rPr>
          <w:rFonts w:hint="eastAsia" w:ascii="楷体_GB2312" w:hAnsi="仿宋_GB2312" w:eastAsia="楷体_GB2312" w:cs="仿宋_GB2312"/>
          <w:szCs w:val="32"/>
        </w:rPr>
        <w:t>区</w:t>
      </w:r>
      <w:r>
        <w:rPr>
          <w:rFonts w:ascii="楷体_GB2312" w:hAnsi="仿宋_GB2312" w:eastAsia="楷体_GB2312" w:cs="仿宋_GB2312"/>
          <w:szCs w:val="32"/>
        </w:rPr>
        <w:t>工业和信息化局</w:t>
      </w:r>
      <w:r>
        <w:rPr>
          <w:rFonts w:hint="eastAsia" w:ascii="楷体_GB2312" w:hAnsi="仿宋_GB2312" w:eastAsia="楷体_GB2312" w:cs="仿宋_GB2312"/>
          <w:szCs w:val="32"/>
        </w:rPr>
        <w:t>、区民政局、区卫生健康局、盐田市场监管局、区委统战部）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（八）动员</w:t>
      </w:r>
      <w:r>
        <w:rPr>
          <w:rFonts w:ascii="楷体_GB2312" w:hAnsi="楷体_GB2312" w:eastAsia="楷体_GB2312" w:cs="楷体_GB2312"/>
          <w:szCs w:val="32"/>
        </w:rPr>
        <w:t>社会参与。</w:t>
      </w:r>
      <w:r>
        <w:rPr>
          <w:rFonts w:hint="eastAsia" w:ascii="仿宋_GB2312" w:hAnsi="仿宋_GB2312" w:cs="仿宋_GB2312"/>
          <w:szCs w:val="32"/>
        </w:rPr>
        <w:t>完善社会参与机制，动员引导党政机关、人民团体、企事业单位、社会组织、社会各界爱心人士等参与东西部协作。坚持政府引导与市场运作相结合，依托全国扶贫日、中国</w:t>
      </w:r>
      <w:r>
        <w:rPr>
          <w:rFonts w:ascii="仿宋_GB2312" w:hAnsi="仿宋_GB2312" w:cs="仿宋_GB2312"/>
          <w:szCs w:val="32"/>
        </w:rPr>
        <w:t>慈展会、</w:t>
      </w:r>
      <w:r>
        <w:rPr>
          <w:rFonts w:hint="eastAsia" w:ascii="仿宋_GB2312" w:hAnsi="仿宋_GB2312" w:cs="仿宋_GB2312"/>
          <w:szCs w:val="32"/>
        </w:rPr>
        <w:t>广东扶贫济困日等平台，每年为凌云、乐业两县筹集社会帮扶资金不少于600万元（每县300万元），助力凌云县、乐业县持续巩固拓展脱贫攻坚成果，全面推进乡村振兴。积极开展结对帮扶、捐资助学、医疗救助、公益慈善、带动就业等工作。继续推动“万企兴万村”行动，鼓励企业</w:t>
      </w:r>
      <w:r>
        <w:rPr>
          <w:rFonts w:ascii="仿宋_GB2312" w:hAnsi="仿宋_GB2312" w:cs="仿宋_GB2312"/>
          <w:szCs w:val="32"/>
        </w:rPr>
        <w:t>通过村企结对、</w:t>
      </w:r>
      <w:r>
        <w:rPr>
          <w:rFonts w:hint="eastAsia" w:ascii="仿宋_GB2312" w:hAnsi="仿宋_GB2312" w:cs="仿宋_GB2312"/>
          <w:szCs w:val="32"/>
        </w:rPr>
        <w:t>村</w:t>
      </w:r>
      <w:r>
        <w:rPr>
          <w:rFonts w:ascii="仿宋_GB2312" w:hAnsi="仿宋_GB2312" w:cs="仿宋_GB2312"/>
          <w:szCs w:val="32"/>
        </w:rPr>
        <w:t>企共建</w:t>
      </w:r>
      <w:r>
        <w:rPr>
          <w:rFonts w:hint="eastAsia" w:ascii="仿宋_GB2312" w:hAnsi="仿宋_GB2312" w:cs="仿宋_GB2312"/>
          <w:szCs w:val="32"/>
        </w:rPr>
        <w:t>等</w:t>
      </w:r>
      <w:r>
        <w:rPr>
          <w:rFonts w:ascii="仿宋_GB2312" w:hAnsi="仿宋_GB2312" w:cs="仿宋_GB2312"/>
          <w:szCs w:val="32"/>
        </w:rPr>
        <w:t>形式，积极参与乡村特色产业开发、消费协作、</w:t>
      </w:r>
      <w:r>
        <w:rPr>
          <w:rFonts w:hint="eastAsia" w:ascii="仿宋_GB2312" w:hAnsi="仿宋_GB2312" w:cs="仿宋_GB2312"/>
          <w:szCs w:val="32"/>
        </w:rPr>
        <w:t>基础</w:t>
      </w:r>
      <w:r>
        <w:rPr>
          <w:rFonts w:ascii="仿宋_GB2312" w:hAnsi="仿宋_GB2312" w:cs="仿宋_GB2312"/>
          <w:szCs w:val="32"/>
        </w:rPr>
        <w:t>设施建设、社会化服务提供、</w:t>
      </w:r>
      <w:r>
        <w:rPr>
          <w:rFonts w:hint="eastAsia" w:ascii="仿宋_GB2312" w:hAnsi="仿宋_GB2312" w:cs="仿宋_GB2312"/>
          <w:szCs w:val="32"/>
        </w:rPr>
        <w:t>农村</w:t>
      </w:r>
      <w:r>
        <w:rPr>
          <w:rFonts w:ascii="仿宋_GB2312" w:hAnsi="仿宋_GB2312" w:cs="仿宋_GB2312"/>
          <w:szCs w:val="32"/>
        </w:rPr>
        <w:t>低收入人口帮扶、特困群体救助等。</w:t>
      </w:r>
      <w:r>
        <w:rPr>
          <w:rFonts w:hint="eastAsia" w:ascii="仿宋_GB2312" w:hAnsi="仿宋_GB2312" w:cs="仿宋_GB2312"/>
          <w:szCs w:val="32"/>
        </w:rPr>
        <w:t>继续支持“银龄行动”，助力开展</w:t>
      </w:r>
      <w:r>
        <w:rPr>
          <w:rFonts w:ascii="仿宋_GB2312" w:hAnsi="仿宋_GB2312" w:cs="仿宋_GB2312"/>
          <w:szCs w:val="32"/>
        </w:rPr>
        <w:t>支医支教和农业科技等</w:t>
      </w:r>
      <w:r>
        <w:rPr>
          <w:rFonts w:hint="eastAsia" w:ascii="仿宋_GB2312" w:hAnsi="仿宋_GB2312" w:cs="仿宋_GB2312"/>
          <w:szCs w:val="32"/>
        </w:rPr>
        <w:t>帮扶工作。</w:t>
      </w:r>
      <w:r>
        <w:rPr>
          <w:rFonts w:hint="eastAsia" w:ascii="楷体_GB2312" w:hAnsi="仿宋_GB2312" w:eastAsia="楷体_GB2312" w:cs="仿宋_GB2312"/>
          <w:szCs w:val="32"/>
        </w:rPr>
        <w:t>（区民政局、区委统战部、区教育局、区卫生健康局</w:t>
      </w:r>
      <w:r>
        <w:rPr>
          <w:rFonts w:ascii="楷体_GB2312" w:hAnsi="仿宋_GB2312" w:eastAsia="楷体_GB2312" w:cs="仿宋_GB2312"/>
          <w:szCs w:val="32"/>
        </w:rPr>
        <w:t>、</w:t>
      </w:r>
      <w:r>
        <w:rPr>
          <w:rFonts w:hint="eastAsia" w:ascii="楷体_GB2312" w:hAnsi="仿宋_GB2312" w:eastAsia="楷体_GB2312" w:cs="仿宋_GB2312"/>
          <w:szCs w:val="32"/>
        </w:rPr>
        <w:t>区</w:t>
      </w:r>
      <w:r>
        <w:rPr>
          <w:rFonts w:ascii="楷体_GB2312" w:hAnsi="仿宋_GB2312" w:eastAsia="楷体_GB2312" w:cs="仿宋_GB2312"/>
          <w:szCs w:val="32"/>
        </w:rPr>
        <w:t>工业和信息化局</w:t>
      </w:r>
      <w:r>
        <w:rPr>
          <w:rFonts w:hint="eastAsia" w:ascii="楷体_GB2312" w:hAnsi="仿宋_GB2312" w:eastAsia="楷体_GB2312" w:cs="仿宋_GB2312"/>
          <w:szCs w:val="32"/>
        </w:rPr>
        <w:t>、区慈善会、挂职干部）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（九）加强</w:t>
      </w:r>
      <w:r>
        <w:rPr>
          <w:rFonts w:ascii="楷体_GB2312" w:hAnsi="楷体_GB2312" w:eastAsia="楷体_GB2312" w:cs="楷体_GB2312"/>
          <w:szCs w:val="32"/>
        </w:rPr>
        <w:t>消费</w:t>
      </w:r>
      <w:r>
        <w:rPr>
          <w:rFonts w:hint="eastAsia" w:ascii="楷体_GB2312" w:hAnsi="楷体_GB2312" w:eastAsia="楷体_GB2312" w:cs="楷体_GB2312"/>
          <w:szCs w:val="32"/>
        </w:rPr>
        <w:t>帮扶</w:t>
      </w:r>
      <w:r>
        <w:rPr>
          <w:rFonts w:ascii="楷体_GB2312" w:hAnsi="楷体_GB2312" w:eastAsia="楷体_GB2312" w:cs="楷体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帮助做大凌云、乐业农产品在深圳的市场优势，利用深圳绿博会、深圳对口帮扶合作交易博览会等平台，努力引导东部企业以供深基地合作为切入点，到凌云、乐业投资建设深圳菜篮子基地、农产品生产基地、加工基地。</w:t>
      </w:r>
      <w:r>
        <w:rPr>
          <w:rFonts w:ascii="仿宋_GB2312" w:hAnsi="仿宋_GB2312" w:cs="仿宋_GB2312"/>
          <w:szCs w:val="32"/>
        </w:rPr>
        <w:t>进一步加强产业配套设施建设，优化财政帮扶资金使用，因地制宜新建或改建一批</w:t>
      </w:r>
      <w:r>
        <w:rPr>
          <w:rFonts w:hint="eastAsia" w:ascii="仿宋_GB2312" w:hAnsi="仿宋_GB2312" w:cs="仿宋_GB2312"/>
          <w:szCs w:val="32"/>
        </w:rPr>
        <w:t>市场、</w:t>
      </w:r>
      <w:r>
        <w:rPr>
          <w:rFonts w:ascii="仿宋_GB2312" w:hAnsi="仿宋_GB2312" w:cs="仿宋_GB2312"/>
          <w:szCs w:val="32"/>
        </w:rPr>
        <w:t>产地仓、气调库、冷藏冷冻保鲜库、产品安全检测</w:t>
      </w:r>
      <w:r>
        <w:rPr>
          <w:rFonts w:hint="eastAsia" w:ascii="仿宋_GB2312" w:hAnsi="仿宋_GB2312" w:cs="仿宋_GB2312"/>
          <w:szCs w:val="32"/>
        </w:rPr>
        <w:t>、</w:t>
      </w:r>
      <w:r>
        <w:rPr>
          <w:rFonts w:ascii="仿宋_GB2312" w:hAnsi="仿宋_GB2312" w:cs="仿宋_GB2312"/>
          <w:szCs w:val="32"/>
        </w:rPr>
        <w:t>物流等配套设施。</w:t>
      </w:r>
      <w:r>
        <w:rPr>
          <w:rFonts w:hint="eastAsia" w:ascii="仿宋_GB2312" w:hAnsi="仿宋_GB2312" w:cs="仿宋_GB2312"/>
          <w:szCs w:val="32"/>
        </w:rPr>
        <w:t>协助实施农业品牌提升行动，推动凌云、乐业加快无公害农产品、绿色食品、有机食品、地理标志农产品认证，支持当地优质农产品申报“圳品”认定。积极推广国家、省、市发布的凌云、乐业消费帮扶产品名录，推动凌云、乐业优质农副产品销往广东等地销售金额每年不低于4000万元。全面提升“盐田区消费帮扶中心”等</w:t>
      </w:r>
      <w:r>
        <w:rPr>
          <w:rFonts w:ascii="仿宋_GB2312" w:hAnsi="仿宋_GB2312" w:cs="仿宋_GB2312"/>
          <w:szCs w:val="32"/>
        </w:rPr>
        <w:t>平台</w:t>
      </w:r>
      <w:r>
        <w:rPr>
          <w:rFonts w:hint="eastAsia" w:ascii="仿宋_GB2312" w:hAnsi="仿宋_GB2312" w:cs="仿宋_GB2312"/>
          <w:szCs w:val="32"/>
        </w:rPr>
        <w:t>功能，优化消费帮扶“专馆、专区、专柜”等“三专”建设工作，加强多方联动，积极开展</w:t>
      </w:r>
      <w:r>
        <w:rPr>
          <w:rFonts w:hint="eastAsia" w:ascii="仿宋_GB2312" w:hAnsi="仿宋_GB2312" w:cs="仿宋_GB2312"/>
          <w:szCs w:val="36"/>
        </w:rPr>
        <w:t>消费帮扶“五进一巡”有关工作，</w:t>
      </w:r>
      <w:r>
        <w:rPr>
          <w:rFonts w:ascii="仿宋_GB2312" w:hAnsi="仿宋_GB2312" w:cs="仿宋_GB2312"/>
          <w:szCs w:val="32"/>
        </w:rPr>
        <w:t>推动</w:t>
      </w:r>
      <w:r>
        <w:rPr>
          <w:rFonts w:hint="eastAsia" w:ascii="仿宋_GB2312" w:hAnsi="仿宋_GB2312" w:cs="仿宋_GB2312"/>
          <w:szCs w:val="32"/>
        </w:rPr>
        <w:t>凌云、乐业更多消费帮扶产品进商超农贸市场、进机关、进工厂企业、进学校医院等，引导机关企事业单位、各级工会和市民通过以购代捐、以买代帮等多种模式参与，营造“人人皆可为，人人皆愿为”的消费帮扶良好社会氛围。</w:t>
      </w:r>
      <w:r>
        <w:rPr>
          <w:rFonts w:hint="eastAsia" w:ascii="楷体_GB2312" w:hAnsi="仿宋_GB2312" w:eastAsia="楷体_GB2312" w:cs="仿宋_GB2312"/>
          <w:szCs w:val="32"/>
        </w:rPr>
        <w:t>（区</w:t>
      </w:r>
      <w:r>
        <w:rPr>
          <w:rFonts w:ascii="楷体_GB2312" w:hAnsi="仿宋_GB2312" w:eastAsia="楷体_GB2312" w:cs="仿宋_GB2312"/>
          <w:szCs w:val="32"/>
        </w:rPr>
        <w:t>财政局</w:t>
      </w:r>
      <w:r>
        <w:rPr>
          <w:rFonts w:hint="eastAsia" w:ascii="楷体_GB2312" w:hAnsi="仿宋_GB2312" w:eastAsia="楷体_GB2312" w:cs="仿宋_GB2312"/>
          <w:szCs w:val="32"/>
        </w:rPr>
        <w:t>、区总工会、区教育局、区</w:t>
      </w:r>
      <w:r>
        <w:rPr>
          <w:rFonts w:ascii="楷体_GB2312" w:hAnsi="仿宋_GB2312" w:eastAsia="楷体_GB2312" w:cs="仿宋_GB2312"/>
          <w:szCs w:val="32"/>
        </w:rPr>
        <w:t>工业和信息化局</w:t>
      </w:r>
      <w:r>
        <w:rPr>
          <w:rFonts w:hint="eastAsia" w:ascii="楷体_GB2312" w:hAnsi="仿宋_GB2312" w:eastAsia="楷体_GB2312" w:cs="仿宋_GB2312"/>
          <w:szCs w:val="32"/>
        </w:rPr>
        <w:t>、区卫生健康局、区国资局、区机关事务局、各街道、区属企业、盐田市场监管局、盐田区消费帮扶中心</w:t>
      </w:r>
      <w:r>
        <w:rPr>
          <w:rFonts w:ascii="楷体_GB2312" w:hAnsi="仿宋_GB2312" w:eastAsia="楷体_GB2312" w:cs="仿宋_GB2312"/>
          <w:szCs w:val="32"/>
        </w:rPr>
        <w:t>、</w:t>
      </w:r>
      <w:r>
        <w:rPr>
          <w:rFonts w:hint="eastAsia" w:ascii="楷体_GB2312" w:hAnsi="仿宋_GB2312" w:eastAsia="楷体_GB2312" w:cs="仿宋_GB2312"/>
          <w:szCs w:val="32"/>
        </w:rPr>
        <w:t>挂职干部，以及其他各有关单位）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楷体_GB2312" w:hAnsi="仿宋_GB2312" w:eastAsia="楷体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（十）拓展协作</w:t>
      </w:r>
      <w:r>
        <w:rPr>
          <w:rFonts w:ascii="楷体_GB2312" w:hAnsi="楷体_GB2312" w:eastAsia="楷体_GB2312" w:cs="楷体_GB2312"/>
          <w:szCs w:val="32"/>
        </w:rPr>
        <w:t>内涵。</w:t>
      </w:r>
      <w:r>
        <w:rPr>
          <w:rFonts w:hint="eastAsia" w:ascii="仿宋_GB2312" w:hAnsi="仿宋_GB2312" w:cs="仿宋_GB2312"/>
          <w:szCs w:val="32"/>
        </w:rPr>
        <w:t>配合凌云县、乐业县加强</w:t>
      </w:r>
      <w:r>
        <w:rPr>
          <w:rFonts w:ascii="仿宋_GB2312" w:hAnsi="仿宋_GB2312" w:cs="仿宋_GB2312"/>
          <w:szCs w:val="32"/>
        </w:rPr>
        <w:t>易地扶贫搬迁</w:t>
      </w:r>
      <w:r>
        <w:rPr>
          <w:rFonts w:hint="eastAsia" w:ascii="仿宋_GB2312" w:hAnsi="仿宋_GB2312" w:cs="仿宋_GB2312"/>
          <w:szCs w:val="32"/>
        </w:rPr>
        <w:t>后续</w:t>
      </w:r>
      <w:r>
        <w:rPr>
          <w:rFonts w:ascii="仿宋_GB2312" w:hAnsi="仿宋_GB2312" w:cs="仿宋_GB2312"/>
          <w:szCs w:val="32"/>
        </w:rPr>
        <w:t>扶持</w:t>
      </w:r>
      <w:r>
        <w:rPr>
          <w:rFonts w:hint="eastAsia" w:ascii="仿宋_GB2312" w:hAnsi="仿宋_GB2312" w:cs="仿宋_GB2312"/>
          <w:szCs w:val="32"/>
        </w:rPr>
        <w:t>工作</w:t>
      </w:r>
      <w:r>
        <w:rPr>
          <w:rFonts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借鉴</w:t>
      </w:r>
      <w:r>
        <w:rPr>
          <w:rFonts w:ascii="仿宋_GB2312" w:hAnsi="仿宋_GB2312" w:cs="仿宋_GB2312"/>
          <w:szCs w:val="32"/>
        </w:rPr>
        <w:t>推广深圳社区</w:t>
      </w:r>
      <w:r>
        <w:rPr>
          <w:rFonts w:hint="eastAsia" w:ascii="仿宋_GB2312" w:hAnsi="仿宋_GB2312" w:cs="仿宋_GB2312"/>
          <w:szCs w:val="32"/>
        </w:rPr>
        <w:t>服务</w:t>
      </w:r>
      <w:r>
        <w:rPr>
          <w:rFonts w:ascii="仿宋_GB2312" w:hAnsi="仿宋_GB2312" w:cs="仿宋_GB2312"/>
          <w:szCs w:val="32"/>
        </w:rPr>
        <w:t>经验，</w:t>
      </w:r>
      <w:r>
        <w:rPr>
          <w:rFonts w:hint="eastAsia" w:ascii="仿宋_GB2312" w:hAnsi="仿宋_GB2312" w:cs="仿宋_GB2312"/>
          <w:szCs w:val="32"/>
        </w:rPr>
        <w:t>提高</w:t>
      </w:r>
      <w:r>
        <w:rPr>
          <w:rFonts w:ascii="仿宋_GB2312" w:hAnsi="仿宋_GB2312" w:cs="仿宋_GB2312"/>
          <w:szCs w:val="32"/>
        </w:rPr>
        <w:t>社区</w:t>
      </w:r>
      <w:r>
        <w:rPr>
          <w:rFonts w:hint="eastAsia" w:ascii="仿宋_GB2312" w:hAnsi="仿宋_GB2312" w:cs="仿宋_GB2312"/>
          <w:szCs w:val="32"/>
        </w:rPr>
        <w:t>公共服务、志愿服务、便民利民服务水平</w:t>
      </w:r>
      <w:r>
        <w:rPr>
          <w:rFonts w:ascii="仿宋_GB2312" w:hAnsi="仿宋_GB2312" w:cs="仿宋_GB2312"/>
          <w:szCs w:val="32"/>
        </w:rPr>
        <w:t>，提升</w:t>
      </w:r>
      <w:r>
        <w:rPr>
          <w:rFonts w:hint="eastAsia" w:ascii="仿宋_GB2312" w:hAnsi="仿宋_GB2312" w:cs="仿宋_GB2312"/>
          <w:szCs w:val="32"/>
        </w:rPr>
        <w:t>搬迁群众生活质量，促进社会融入。</w:t>
      </w:r>
      <w:r>
        <w:rPr>
          <w:rFonts w:ascii="仿宋_GB2312" w:hAnsi="仿宋_GB2312" w:cs="仿宋_GB2312"/>
          <w:szCs w:val="32"/>
        </w:rPr>
        <w:t>支持</w:t>
      </w:r>
      <w:r>
        <w:rPr>
          <w:rFonts w:hint="eastAsia" w:ascii="仿宋_GB2312" w:hAnsi="仿宋_GB2312" w:cs="仿宋_GB2312"/>
          <w:szCs w:val="32"/>
        </w:rPr>
        <w:t>当地在易地搬迁安置区发展设施农业、特色种养业、手工艺品制作、健康养生和乡村旅游等多种经营，多渠道解决就业。助力旅游业发展，充分发挥凌云、乐业旅游资源富集、自然风光优美、民族特色明显的优势，协助凌云、乐业开发休闲农业和乡村旅游精品线路、塑造旅游品牌、打造精品旅游线路和民宿点。</w:t>
      </w:r>
      <w:r>
        <w:rPr>
          <w:rFonts w:hint="eastAsia" w:ascii="楷体_GB2312" w:hAnsi="仿宋_GB2312" w:eastAsia="楷体_GB2312" w:cs="仿宋_GB2312"/>
          <w:szCs w:val="32"/>
        </w:rPr>
        <w:t>（挂职干部、区工业和信息化局、区</w:t>
      </w:r>
      <w:r>
        <w:rPr>
          <w:rFonts w:ascii="楷体_GB2312" w:hAnsi="仿宋_GB2312" w:eastAsia="楷体_GB2312" w:cs="仿宋_GB2312"/>
          <w:szCs w:val="32"/>
        </w:rPr>
        <w:t>科技创新</w:t>
      </w:r>
      <w:r>
        <w:rPr>
          <w:rFonts w:hint="eastAsia" w:ascii="楷体_GB2312" w:hAnsi="仿宋_GB2312" w:eastAsia="楷体_GB2312" w:cs="仿宋_GB2312"/>
          <w:szCs w:val="32"/>
        </w:rPr>
        <w:t>局</w:t>
      </w:r>
      <w:r>
        <w:rPr>
          <w:rFonts w:ascii="楷体_GB2312" w:hAnsi="仿宋_GB2312" w:eastAsia="楷体_GB2312" w:cs="仿宋_GB2312"/>
          <w:szCs w:val="32"/>
        </w:rPr>
        <w:t>、</w:t>
      </w:r>
      <w:r>
        <w:rPr>
          <w:rFonts w:hint="eastAsia" w:ascii="楷体_GB2312" w:hAnsi="仿宋_GB2312" w:eastAsia="楷体_GB2312" w:cs="仿宋_GB2312"/>
          <w:szCs w:val="32"/>
        </w:rPr>
        <w:t>区文化广电</w:t>
      </w:r>
      <w:r>
        <w:rPr>
          <w:rFonts w:ascii="楷体_GB2312" w:hAnsi="仿宋_GB2312" w:eastAsia="楷体_GB2312" w:cs="仿宋_GB2312"/>
          <w:szCs w:val="32"/>
        </w:rPr>
        <w:t>旅游体育局、</w:t>
      </w:r>
      <w:r>
        <w:rPr>
          <w:rFonts w:hint="eastAsia" w:ascii="楷体_GB2312" w:hAnsi="仿宋_GB2312" w:eastAsia="楷体_GB2312" w:cs="仿宋_GB2312"/>
          <w:szCs w:val="32"/>
        </w:rPr>
        <w:t>盐田市场监管局</w:t>
      </w:r>
      <w:r>
        <w:rPr>
          <w:rFonts w:ascii="楷体_GB2312" w:hAnsi="仿宋_GB2312" w:eastAsia="楷体_GB2312" w:cs="仿宋_GB2312"/>
          <w:szCs w:val="32"/>
        </w:rPr>
        <w:t>、</w:t>
      </w:r>
      <w:r>
        <w:rPr>
          <w:rFonts w:hint="eastAsia" w:ascii="楷体_GB2312" w:hAnsi="仿宋_GB2312" w:eastAsia="楷体_GB2312" w:cs="仿宋_GB2312"/>
          <w:szCs w:val="32"/>
        </w:rPr>
        <w:t>区委统战部）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四、保障措施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仿宋_GB2312" w:hAnsi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（十一）加强组织</w:t>
      </w:r>
      <w:r>
        <w:rPr>
          <w:rFonts w:ascii="楷体_GB2312" w:hAnsi="楷体_GB2312" w:eastAsia="楷体_GB2312" w:cs="楷体_GB2312"/>
          <w:szCs w:val="32"/>
        </w:rPr>
        <w:t>领导</w:t>
      </w:r>
      <w:r>
        <w:rPr>
          <w:rFonts w:hint="eastAsia" w:ascii="楷体_GB2312" w:hAnsi="楷体_GB2312" w:eastAsia="楷体_GB2312" w:cs="楷体_GB2312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盐田区与凌云县、乐业县共同建立东西部协作党政联席会议制度，协作双方每年开展</w:t>
      </w:r>
      <w:r>
        <w:rPr>
          <w:rFonts w:ascii="仿宋_GB2312" w:hAnsi="仿宋_GB2312" w:cs="仿宋_GB2312"/>
          <w:szCs w:val="32"/>
        </w:rPr>
        <w:t>调研对接</w:t>
      </w:r>
      <w:r>
        <w:rPr>
          <w:rFonts w:hint="eastAsia" w:ascii="仿宋_GB2312" w:hAnsi="仿宋_GB2312" w:cs="仿宋_GB2312"/>
          <w:szCs w:val="32"/>
        </w:rPr>
        <w:t>，召开联席会议，统筹协商、研究部署重点</w:t>
      </w:r>
      <w:r>
        <w:rPr>
          <w:rFonts w:ascii="仿宋_GB2312" w:hAnsi="仿宋_GB2312" w:cs="仿宋_GB2312"/>
          <w:szCs w:val="32"/>
        </w:rPr>
        <w:t>工作</w:t>
      </w:r>
      <w:r>
        <w:rPr>
          <w:rFonts w:hint="eastAsia" w:ascii="仿宋_GB2312" w:hAnsi="仿宋_GB2312" w:cs="仿宋_GB2312"/>
          <w:szCs w:val="32"/>
        </w:rPr>
        <w:t>，将东西部协作纳入重要议事日程。盐田区主要负责同志每年至少一次赴凌云县、乐业县</w:t>
      </w:r>
      <w:r>
        <w:rPr>
          <w:rFonts w:ascii="仿宋_GB2312" w:hAnsi="仿宋_GB2312" w:cs="仿宋_GB2312"/>
          <w:szCs w:val="32"/>
        </w:rPr>
        <w:t>调研</w:t>
      </w:r>
      <w:r>
        <w:rPr>
          <w:rFonts w:hint="eastAsia" w:ascii="仿宋_GB2312" w:hAnsi="仿宋_GB2312" w:cs="仿宋_GB2312"/>
          <w:szCs w:val="32"/>
        </w:rPr>
        <w:t>，推动解决对口协作突出问题。挂职干部主要负责组织接受国家、</w:t>
      </w:r>
      <w:r>
        <w:rPr>
          <w:rFonts w:ascii="仿宋_GB2312" w:hAnsi="仿宋_GB2312" w:cs="仿宋_GB2312"/>
          <w:szCs w:val="32"/>
        </w:rPr>
        <w:t>省</w:t>
      </w:r>
      <w:r>
        <w:rPr>
          <w:rFonts w:hint="eastAsia" w:ascii="仿宋_GB2312" w:hAnsi="仿宋_GB2312" w:cs="仿宋_GB2312"/>
          <w:szCs w:val="32"/>
        </w:rPr>
        <w:t>东西部协作成效考核评价，统筹协调推进盐田</w:t>
      </w:r>
      <w:r>
        <w:rPr>
          <w:rFonts w:ascii="仿宋_GB2312" w:hAnsi="仿宋_GB2312" w:cs="仿宋_GB2312"/>
          <w:szCs w:val="32"/>
        </w:rPr>
        <w:t>对口</w:t>
      </w:r>
      <w:r>
        <w:rPr>
          <w:rFonts w:hint="eastAsia" w:ascii="仿宋_GB2312" w:hAnsi="仿宋_GB2312" w:cs="仿宋_GB2312"/>
          <w:szCs w:val="32"/>
        </w:rPr>
        <w:t>广西百色市凌云县、乐业县东西部协作各项</w:t>
      </w:r>
      <w:r>
        <w:rPr>
          <w:rFonts w:ascii="仿宋_GB2312" w:hAnsi="仿宋_GB2312" w:cs="仿宋_GB2312"/>
          <w:szCs w:val="32"/>
        </w:rPr>
        <w:t>工作。</w:t>
      </w:r>
      <w:r>
        <w:rPr>
          <w:rFonts w:hint="eastAsia" w:ascii="仿宋_GB2312" w:hAnsi="仿宋_GB2312" w:cs="仿宋_GB2312"/>
          <w:szCs w:val="32"/>
          <w:u w:val="none"/>
        </w:rPr>
        <w:t>盐田区对口支援工作领导小组办公室</w:t>
      </w:r>
      <w:r>
        <w:rPr>
          <w:rFonts w:hint="eastAsia" w:ascii="仿宋_GB2312" w:hAnsi="仿宋_GB2312" w:cs="仿宋_GB2312"/>
          <w:szCs w:val="32"/>
        </w:rPr>
        <w:t>要加强东西部协作的组织协调、业务指导、督促检查等工作。</w:t>
      </w:r>
      <w:r>
        <w:rPr>
          <w:rFonts w:ascii="仿宋_GB2312" w:hAnsi="仿宋_GB2312" w:cs="仿宋_GB2312"/>
          <w:szCs w:val="32"/>
        </w:rPr>
        <w:t>各</w:t>
      </w:r>
      <w:r>
        <w:rPr>
          <w:rFonts w:hint="eastAsia" w:ascii="仿宋_GB2312" w:hAnsi="仿宋_GB2312" w:cs="仿宋_GB2312"/>
          <w:szCs w:val="32"/>
        </w:rPr>
        <w:t>有关</w:t>
      </w:r>
      <w:r>
        <w:rPr>
          <w:rFonts w:ascii="仿宋_GB2312" w:hAnsi="仿宋_GB2312" w:cs="仿宋_GB2312"/>
          <w:szCs w:val="32"/>
        </w:rPr>
        <w:t>部门</w:t>
      </w:r>
      <w:r>
        <w:rPr>
          <w:rFonts w:hint="eastAsia" w:ascii="仿宋_GB2312" w:hAnsi="仿宋_GB2312" w:cs="仿宋_GB2312"/>
          <w:szCs w:val="32"/>
        </w:rPr>
        <w:t>要根据自身业务和职责分工，按照东西部协作工作目标、任务和举措，认真抓好落实。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（十二）加强财政支持。</w:t>
      </w:r>
      <w:r>
        <w:rPr>
          <w:rFonts w:hint="eastAsia" w:ascii="仿宋_GB2312" w:hAnsi="仿宋_GB2312" w:cs="仿宋_GB2312"/>
          <w:spacing w:val="8"/>
          <w:kern w:val="0"/>
          <w:szCs w:val="32"/>
          <w:shd w:val="clear" w:color="auto" w:fill="FFFFFF"/>
        </w:rPr>
        <w:t>按照深圳市东西部协作工作部署，由市级财政统筹安排财政援助资金，列入市级年度预算，统一拨付，再由百色市统筹安排拨付至凌云县和乐业县。</w:t>
      </w:r>
      <w:r>
        <w:rPr>
          <w:rFonts w:hint="eastAsia" w:ascii="仿宋_GB2312" w:hAnsi="仿宋_GB2312" w:cs="仿宋_GB2312"/>
          <w:szCs w:val="32"/>
        </w:rPr>
        <w:t>帮扶资金主要用于产业、乡村振兴发展、劳务、消费、文教卫生公共设施配套等重点项目，以及人才支援与交流等方面，支持凌云、乐业巩固拓展脱贫攻坚成果。前方派驻机构</w:t>
      </w:r>
      <w:r>
        <w:rPr>
          <w:rFonts w:ascii="仿宋_GB2312" w:hAnsi="仿宋_GB2312" w:cs="仿宋_GB2312"/>
          <w:szCs w:val="32"/>
        </w:rPr>
        <w:t>要会同当地有关部门统筹协调财政资金使用</w:t>
      </w:r>
      <w:r>
        <w:rPr>
          <w:rFonts w:hint="eastAsia" w:ascii="仿宋_GB2312" w:hAnsi="仿宋_GB2312" w:cs="仿宋_GB2312"/>
          <w:szCs w:val="32"/>
        </w:rPr>
        <w:t>，突出工作</w:t>
      </w:r>
      <w:r>
        <w:rPr>
          <w:rFonts w:ascii="仿宋_GB2312" w:hAnsi="仿宋_GB2312" w:cs="仿宋_GB2312"/>
          <w:szCs w:val="32"/>
        </w:rPr>
        <w:t>重点，</w:t>
      </w:r>
      <w:r>
        <w:rPr>
          <w:rFonts w:hint="eastAsia" w:ascii="仿宋_GB2312" w:hAnsi="仿宋_GB2312" w:cs="仿宋_GB2312"/>
          <w:szCs w:val="32"/>
        </w:rPr>
        <w:t>研究探索</w:t>
      </w:r>
      <w:r>
        <w:rPr>
          <w:rFonts w:ascii="仿宋_GB2312" w:hAnsi="仿宋_GB2312" w:cs="仿宋_GB2312"/>
          <w:szCs w:val="32"/>
        </w:rPr>
        <w:t>和拓展资金使用范围和功能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ascii="仿宋_GB2312" w:hAnsi="仿宋_GB2312" w:cs="仿宋_GB2312"/>
          <w:szCs w:val="32"/>
        </w:rPr>
        <w:t>支持</w:t>
      </w:r>
      <w:r>
        <w:rPr>
          <w:rFonts w:hint="eastAsia" w:ascii="仿宋_GB2312" w:hAnsi="仿宋_GB2312" w:cs="仿宋_GB2312"/>
          <w:szCs w:val="32"/>
        </w:rPr>
        <w:t>凌云县、乐业县帮扶项目</w:t>
      </w:r>
      <w:r>
        <w:rPr>
          <w:rFonts w:ascii="仿宋_GB2312" w:hAnsi="仿宋_GB2312" w:cs="仿宋_GB2312"/>
          <w:szCs w:val="32"/>
        </w:rPr>
        <w:t>建设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rPr>
          <w:rFonts w:hint="eastAsia" w:ascii="仿宋_GB2312" w:hAnsi="仿宋_GB2312" w:cs="仿宋_GB2312"/>
          <w:kern w:val="0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（十三）加强监督检查。</w:t>
      </w:r>
      <w:r>
        <w:rPr>
          <w:rFonts w:hint="eastAsia" w:ascii="仿宋_GB2312" w:hAnsi="仿宋_GB2312" w:cs="仿宋_GB2312"/>
          <w:szCs w:val="32"/>
        </w:rPr>
        <w:t>国家将定期对东西部协作工作成效进行考核评价。</w:t>
      </w:r>
      <w:r>
        <w:rPr>
          <w:rFonts w:hint="eastAsia" w:ascii="仿宋_GB2312" w:hAnsi="仿宋_GB2312" w:cs="仿宋_GB2312"/>
          <w:kern w:val="0"/>
          <w:szCs w:val="32"/>
        </w:rPr>
        <w:t>各</w:t>
      </w:r>
      <w:r>
        <w:rPr>
          <w:rFonts w:ascii="仿宋_GB2312" w:hAnsi="仿宋_GB2312" w:cs="仿宋_GB2312"/>
          <w:kern w:val="0"/>
          <w:szCs w:val="32"/>
        </w:rPr>
        <w:t>有关部门</w:t>
      </w:r>
      <w:r>
        <w:rPr>
          <w:rFonts w:hint="eastAsia" w:ascii="仿宋_GB2312" w:hAnsi="仿宋_GB2312" w:cs="仿宋_GB2312"/>
          <w:kern w:val="0"/>
          <w:szCs w:val="32"/>
        </w:rPr>
        <w:t>要进一步强化检查督促工作，及时发现和解决存在的问题，推动政策举措落实落地，保障项目资金安全，确保东西部</w:t>
      </w:r>
      <w:r>
        <w:rPr>
          <w:rFonts w:ascii="仿宋_GB2312" w:hAnsi="仿宋_GB2312" w:cs="仿宋_GB2312"/>
          <w:kern w:val="0"/>
          <w:szCs w:val="32"/>
        </w:rPr>
        <w:t>协作工作取得实效</w:t>
      </w:r>
      <w:r>
        <w:rPr>
          <w:rFonts w:hint="eastAsia" w:ascii="仿宋_GB2312" w:hAnsi="仿宋_GB2312" w:cs="仿宋_GB2312"/>
          <w:kern w:val="0"/>
          <w:szCs w:val="32"/>
        </w:rPr>
        <w:t>、</w:t>
      </w:r>
      <w:r>
        <w:rPr>
          <w:rFonts w:ascii="仿宋_GB2312" w:hAnsi="仿宋_GB2312" w:cs="仿宋_GB2312"/>
          <w:kern w:val="0"/>
          <w:szCs w:val="32"/>
        </w:rPr>
        <w:t>走在前列</w:t>
      </w:r>
      <w:r>
        <w:rPr>
          <w:rFonts w:hint="eastAsia" w:ascii="仿宋_GB2312" w:hAnsi="仿宋_GB2312" w:cs="仿宋_GB2312"/>
          <w:kern w:val="0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sectPr>
          <w:footerReference r:id="rId7" w:type="default"/>
          <w:pgSz w:w="11906" w:h="16838"/>
          <w:pgMar w:top="2098" w:right="1474" w:bottom="1440" w:left="1587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szCs w:val="32"/>
        </w:rPr>
        <w:t>（十四）加强总结宣传。</w:t>
      </w:r>
      <w:r>
        <w:rPr>
          <w:rFonts w:hint="eastAsia" w:ascii="仿宋_GB2312" w:hAnsi="仿宋_GB2312" w:cs="仿宋_GB2312"/>
          <w:kern w:val="0"/>
          <w:szCs w:val="32"/>
        </w:rPr>
        <w:t>加强东西部</w:t>
      </w:r>
      <w:r>
        <w:rPr>
          <w:rFonts w:ascii="仿宋_GB2312" w:hAnsi="仿宋_GB2312" w:cs="仿宋_GB2312"/>
          <w:kern w:val="0"/>
          <w:szCs w:val="32"/>
        </w:rPr>
        <w:t>协作宣传工作，在全社会营造共同推进</w:t>
      </w:r>
      <w:r>
        <w:rPr>
          <w:rFonts w:hint="eastAsia" w:ascii="仿宋_GB2312" w:hAnsi="仿宋_GB2312" w:cs="仿宋_GB2312"/>
          <w:kern w:val="0"/>
          <w:szCs w:val="32"/>
        </w:rPr>
        <w:t>对口协作</w:t>
      </w:r>
      <w:r>
        <w:rPr>
          <w:rFonts w:ascii="仿宋_GB2312" w:hAnsi="仿宋_GB2312" w:cs="仿宋_GB2312"/>
          <w:kern w:val="0"/>
          <w:szCs w:val="32"/>
        </w:rPr>
        <w:t>和乡村振兴的浓厚氛围。</w:t>
      </w:r>
      <w:r>
        <w:rPr>
          <w:rFonts w:hint="eastAsia" w:ascii="仿宋_GB2312" w:hAnsi="仿宋_GB2312" w:cs="Times New Roman"/>
          <w:szCs w:val="24"/>
        </w:rPr>
        <w:t>从组织领导、社会参与、市场运作、人才支援等方面分类总结，提炼优秀人物、品牌项目等典型案例，进行宣传报道，</w:t>
      </w:r>
      <w:r>
        <w:rPr>
          <w:rFonts w:hint="eastAsia" w:ascii="仿宋_GB2312" w:hAnsi="仿宋_GB2312" w:cs="仿宋_GB2312"/>
          <w:szCs w:val="32"/>
          <w:shd w:val="clear" w:color="auto" w:fill="FFFFFF"/>
        </w:rPr>
        <w:t>全方位展现盐田</w:t>
      </w:r>
      <w:r>
        <w:rPr>
          <w:rFonts w:hint="eastAsia" w:ascii="仿宋_GB2312" w:hAnsi="仿宋_GB2312" w:cs="Times New Roman"/>
          <w:szCs w:val="24"/>
        </w:rPr>
        <w:t>东西部协作</w:t>
      </w:r>
      <w:r>
        <w:rPr>
          <w:rFonts w:hint="eastAsia" w:ascii="仿宋_GB2312" w:hAnsi="仿宋_GB2312" w:cs="仿宋_GB2312"/>
          <w:szCs w:val="32"/>
          <w:shd w:val="clear" w:color="auto" w:fill="FFFFFF"/>
        </w:rPr>
        <w:t>新作为新成果新风采</w:t>
      </w:r>
      <w:r>
        <w:rPr>
          <w:rFonts w:hint="eastAsia" w:ascii="仿宋_GB2312" w:hAnsi="仿宋_GB2312" w:cs="Times New Roman"/>
          <w:szCs w:val="24"/>
        </w:rPr>
        <w:t>。</w:t>
      </w:r>
    </w:p>
    <w:tbl>
      <w:tblPr>
        <w:tblStyle w:val="11"/>
        <w:tblW w:w="21811" w:type="dxa"/>
        <w:tblInd w:w="-5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1324"/>
        <w:gridCol w:w="5076"/>
        <w:gridCol w:w="10858"/>
        <w:gridCol w:w="2315"/>
        <w:gridCol w:w="10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0" w:firstLineChars="0"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附件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1124" w:firstLineChars="20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56"/>
                <w:szCs w:val="5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56"/>
                <w:szCs w:val="56"/>
              </w:rPr>
              <w:t>盐田区—凌云县、乐业县东西部协作考核指标任务表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ind w:firstLine="440" w:firstLineChars="200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51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考核评价内容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评价指标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具体工作任务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562" w:firstLineChars="200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责任单位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281" w:firstLineChars="100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19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textAlignment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一、协议完成情况</w:t>
            </w:r>
          </w:p>
        </w:tc>
        <w:tc>
          <w:tcPr>
            <w:tcW w:w="1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（1）组织领导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1.召开会议专题研究部署东西部协作工作，出台推进东西部协作政策文件、编制规划计划、明确责任部门情况；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区委常委会议、区政府常务会议、领导小组会议，每年至少各召开一次，单列议题研究部署东西部协作工作。出台推进东西部协作政策文件、编制年度工作计划。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区委（区政府）办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2.党委和政府负责同志到协作地区调研对接、召开高层联席会议情况；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双方党政主要负责同志每年至少到对口县对接1次，召开两地联席会议1次。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区委（区政府）办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3.组织东部经济较发达县(市、区)与西部脱贫县、国家乡村振兴重点帮扶县开展结对帮扶情况；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根据上级安排，盐田区结对帮扶凌云县、乐业县开展东西部协作工作。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2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4.组织有条件、有能力的学校、医院到西部地区开展结对帮扶情况。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组织区属学校、医院与凌云县、乐业县的学校、医院结对，每县结对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2所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学校、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1家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医院；组织老师、医护人员到协作地区交流，开展帮扶活动。结对安排具体如下：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【凌云县】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盐田高级中学——凌云中学。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盐田田东中学——凌云县第二中学。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深圳市儿童医院——凌云县人民医院（</w:t>
            </w:r>
            <w:r>
              <w:rPr>
                <w:rFonts w:ascii="华文楷体" w:hAnsi="华文楷体" w:eastAsia="华文楷体" w:cs="华文楷体"/>
                <w:color w:val="000000"/>
                <w:kern w:val="0"/>
                <w:sz w:val="26"/>
                <w:szCs w:val="26"/>
              </w:rPr>
              <w:t>由市卫健委统筹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【乐业县】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盐田区实验学校——乐业县第一中学。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盐田区梅沙未来学校——乐业县城第二小学。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盐田区人民医院——乐业县人民医院。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区教育局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区卫生健康局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深圳市今年分配任务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（2）助力巩固拓展脱贫攻坚成果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5.帮助农村劳动力，特别是脱贫人口转移到省外就业、在省内就近就业和在东部省市稳岗就业情况；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1.帮助凌云县、乐业县农村劳动力转移到广东就业人数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640人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以上（每县320人），其中帮助凌云县、乐业县脱贫人口转移到广东就业人数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350人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以上（每县175人）。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2.帮助凌云县、乐业县脱贫人口广西就近就业人数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430人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以上（每县215人）。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区人力资源局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深圳市今年分配任务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6.帮扶资源向国家乡村振兴重点帮扶县倾斜支持情况；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暂无明确考核指标任务。（</w:t>
            </w:r>
            <w:r>
              <w:rPr>
                <w:rFonts w:ascii="华文楷体" w:hAnsi="华文楷体" w:eastAsia="华文楷体" w:cs="华文楷体"/>
                <w:color w:val="000000"/>
                <w:kern w:val="0"/>
                <w:sz w:val="26"/>
                <w:szCs w:val="26"/>
              </w:rPr>
              <w:t>由当地乡村振兴有关部门具体落实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）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7.开展消费帮扶情况。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凌云、乐业消费帮扶产品销往广东等地销售金额达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4000万元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以上（每县2000万元）。（</w:t>
            </w:r>
            <w:r>
              <w:rPr>
                <w:rFonts w:ascii="华文楷体" w:hAnsi="华文楷体" w:eastAsia="华文楷体" w:cs="华文楷体"/>
                <w:color w:val="000000"/>
                <w:kern w:val="0"/>
                <w:sz w:val="26"/>
                <w:szCs w:val="26"/>
              </w:rPr>
              <w:t>由当地乡村振兴有关部门具体落实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）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深圳市今年分配任务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（3）加强区域协作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8.共建产业园区，特别是农业产业园区，建立利益联结机制及群众受益情况；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暂无明确考核指标任务。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9.引导企业投资落地个数、实际到位投资额和吸纳就业等情况。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暂无明确考核指标任务，要求逐年要有递增。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（4）促进乡村振兴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10.党政挂职干部和专业技术人才选派和关爱、激励情况，帮助协作地区培养乡村振兴干部人才情况；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1.选派党政挂职干部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4人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（每县2人）、选派专业技术人才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18人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以上（每县9人），并对选派的干部人才在表彰奖励、待遇保障、提拔重用、职称评定、健康服务等方面建立激励机制。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2.协同当地部门开展乡村振兴干部人才培训，每年为对口协作县举办1-2期干部培训班。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区委组织部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区委党校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区教育局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区卫生健康局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深圳市今年分配任务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19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132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left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11.财政援助和社会帮扶资金投入、管理情况等。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市、区统筹安排东西部协作财政援助资金。全年帮扶资金使用率要高于90%。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深圳市财政委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挂职干部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5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二、工作创新情况</w:t>
            </w: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12.将东部地区乡村振兴经验.做法复制推广到协作地区情况；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暂无明确考核指标任务。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2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13.助力协作地区巩固拓展脱贫攻坚成果、全面推进乡村振兴、加强区域协作中的创新工作情况；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暂无明确考核指标任务。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7" w:hRule="atLeast"/>
        </w:trPr>
        <w:tc>
          <w:tcPr>
            <w:tcW w:w="2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14.动员企业、社会组织等社会各方面力量参与东西部协作工作情况；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1.动员社会力量为凌云县、乐业县捐款捐物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600万元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以上（每县300万元）。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2.组织街道与凌云县、乐业县的乡、镇结对；社区、企业、社会组织与凌云县、乐业县脱贫村结对；双方签订结对协议，开展帮扶活动。2021年实现凌云、乐业每个县至少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1个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乡镇、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6"/>
                <w:szCs w:val="26"/>
              </w:rPr>
              <w:t>5个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脱贫村结对。结对安排具体如下：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【凌云县】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海山街道：结对凌云县泗城镇；同时安排一个社区结对凌云县泗城镇上蒙村。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梅沙街道：结对凌云县伶站瑶族乡；同时安排一个社区结对凌云县伶站瑶族乡浩坤村。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区城建集团：结对凌云县下甲镇平怀村。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深沙保集团：结对凌云县加尤镇磨贤村。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盐田区工商联（总商会）：结对凌云县逻楼镇快村村。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【乐业县】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沙头角街道：结对乐业县甘田镇；同时安排一个社区结对乐业县甘田镇夏福村。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盐田街道：结对乐业县新化镇；同时安排一个社区结对乐业县新化镇连篆村。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沙商贸公司：结对乐业县甘田镇九洞村。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盐田国投公司：结对乐业县新化镇林立村。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盐田区工商联（总商会）：结对乐业县新化镇谐里村。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各街道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区属企业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区委统战部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深圳市今年分配任务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5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2" w:firstLineChars="200"/>
              <w:jc w:val="center"/>
              <w:rPr>
                <w:rFonts w:ascii="宋体" w:hAnsi="宋体" w:eastAsia="宋体" w:cs="宋体"/>
                <w:b/>
                <w:color w:val="000000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52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15.做好结对关系调整前后工作和项目推进实施，确保帮扶工作不断档、不掉线，实现有序衔接，平稳过渡情况等。</w:t>
            </w:r>
          </w:p>
        </w:tc>
        <w:tc>
          <w:tcPr>
            <w:tcW w:w="10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根据上级安排，盐田区东西部协作新阶段继续结对广西百色市凌云县、乐业县，帮扶工作平稳过渡。</w:t>
            </w:r>
          </w:p>
        </w:tc>
        <w:tc>
          <w:tcPr>
            <w:tcW w:w="2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left"/>
              <w:textAlignment w:val="center"/>
              <w:rPr>
                <w:rFonts w:ascii="宋体" w:hAnsi="宋体" w:eastAsia="宋体" w:cs="宋体"/>
                <w:color w:val="00000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区工业和信息化局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spacing w:line="400" w:lineRule="exact"/>
        <w:ind w:right="198" w:rightChars="62" w:firstLine="560" w:firstLineChars="200"/>
      </w:pPr>
      <w:r>
        <w:rPr>
          <w:rFonts w:hint="eastAsia" w:ascii="楷体_GB2312" w:hAnsi="楷体_GB2312" w:eastAsia="楷体_GB2312" w:cs="楷体_GB2312"/>
          <w:sz w:val="28"/>
          <w:szCs w:val="22"/>
        </w:rPr>
        <w:t>注：上述表格中考核评价指标及任务要求重点以《中央农村工作领导小组关于印发〈东西部协作考核评价办法〉的通知》(中农组发〔2021〕10号)和省、市印发相关文件为参考依据，以后年度考核指标及任务要求将按照中央、省、市最新文件及工作要求贯彻落实。</w:t>
      </w:r>
    </w:p>
    <w:sectPr>
      <w:pgSz w:w="23757" w:h="16783" w:orient="landscape"/>
      <w:pgMar w:top="947" w:right="678" w:bottom="1474" w:left="11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文鼎小标宋简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Verdana">
    <w:altName w:val="Ubuntu Light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left" w:pos="5485"/>
        <w:tab w:val="right" w:pos="8604"/>
        <w:tab w:val="clear" w:pos="4153"/>
        <w:tab w:val="clear" w:pos="8306"/>
      </w:tabs>
      <w:ind w:left="350"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tabs>
                              <w:tab w:val="left" w:pos="5485"/>
                              <w:tab w:val="right" w:pos="8604"/>
                              <w:tab w:val="clear" w:pos="4153"/>
                              <w:tab w:val="clear" w:pos="8306"/>
                            </w:tabs>
                            <w:ind w:left="350" w:right="360"/>
                          </w:pPr>
                          <w:r>
                            <w:rPr>
                              <w:rStyle w:val="13"/>
                              <w:rFonts w:hint="eastAsia"/>
                            </w:rPr>
                            <w:tab/>
                          </w:r>
                          <w:r>
                            <w:rPr>
                              <w:rStyle w:val="13"/>
                              <w:rFonts w:hint="eastAsia"/>
                            </w:rPr>
                            <w:tab/>
                          </w:r>
                          <w:r>
                            <w:rPr>
                              <w:rStyle w:val="13"/>
                              <w:rFonts w:hint="eastAsia" w:ascii="宋体" w:hAnsi="宋体" w:cs="宋体"/>
                              <w:szCs w:val="28"/>
                            </w:rPr>
                            <w:t>－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  <w:rFonts w:hint="eastAsia" w:ascii="宋体" w:hAnsi="宋体" w:cs="宋体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3"/>
                              <w:rFonts w:ascii="宋体" w:hAnsi="宋体" w:cs="宋体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3"/>
                              <w:rFonts w:hint="eastAsia" w:ascii="宋体" w:hAnsi="宋体" w:cs="宋体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M6pebnPAAAABQEAAA8AAAAAAAAA&#10;AQAgAAAAOAAAAGRycy9kb3ducmV2LnhtbFBLAQIUABQAAAAIAIdO4kC0Q131ywEAAJwDAAAOAAAA&#10;AAAAAAEAIAAAADQ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tabs>
                        <w:tab w:val="left" w:pos="5485"/>
                        <w:tab w:val="right" w:pos="8604"/>
                        <w:tab w:val="clear" w:pos="4153"/>
                        <w:tab w:val="clear" w:pos="8306"/>
                      </w:tabs>
                      <w:ind w:left="350" w:right="360"/>
                    </w:pPr>
                    <w:r>
                      <w:rPr>
                        <w:rStyle w:val="13"/>
                        <w:rFonts w:hint="eastAsia"/>
                      </w:rPr>
                      <w:tab/>
                    </w:r>
                    <w:r>
                      <w:rPr>
                        <w:rStyle w:val="13"/>
                        <w:rFonts w:hint="eastAsia"/>
                      </w:rPr>
                      <w:tab/>
                    </w:r>
                    <w:r>
                      <w:rPr>
                        <w:rStyle w:val="13"/>
                        <w:rFonts w:hint="eastAsia" w:ascii="宋体" w:hAnsi="宋体" w:cs="宋体"/>
                        <w:szCs w:val="28"/>
                      </w:rPr>
                      <w:t>－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3"/>
                        <w:rFonts w:hint="eastAsia" w:ascii="宋体" w:hAnsi="宋体" w:cs="宋体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3"/>
                        <w:rFonts w:ascii="宋体" w:hAnsi="宋体" w:cs="宋体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3"/>
                        <w:rFonts w:hint="eastAsia" w:ascii="宋体" w:hAnsi="宋体" w:cs="宋体"/>
                        <w:szCs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  <w:tab w:val="clear" w:pos="8306"/>
      </w:tabs>
      <w:ind w:left="350"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tabs>
                              <w:tab w:val="clear" w:pos="4153"/>
                              <w:tab w:val="clear" w:pos="8306"/>
                            </w:tabs>
                            <w:ind w:left="350" w:right="360"/>
                          </w:pPr>
                          <w:r>
                            <w:rPr>
                              <w:rStyle w:val="13"/>
                              <w:rFonts w:hint="eastAsia" w:ascii="宋体" w:hAnsi="宋体" w:cs="宋体"/>
                              <w:szCs w:val="28"/>
                            </w:rPr>
                            <w:t>－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  <w:rFonts w:hint="eastAsia" w:ascii="宋体" w:hAnsi="宋体" w:cs="宋体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3"/>
                              <w:rFonts w:ascii="宋体" w:hAnsi="宋体" w:cs="宋体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3"/>
                              <w:rFonts w:hint="eastAsia" w:ascii="宋体" w:hAnsi="宋体" w:cs="宋体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M6pebnPAAAABQEAAA8AAAAAAAAA&#10;AQAgAAAAOAAAAGRycy9kb3ducmV2LnhtbFBLAQIUABQAAAAIAIdO4kCrU4H1ywEAAJwDAAAOAAAA&#10;AAAAAAEAIAAAADQ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tabs>
                        <w:tab w:val="clear" w:pos="4153"/>
                        <w:tab w:val="clear" w:pos="8306"/>
                      </w:tabs>
                      <w:ind w:left="350" w:right="360"/>
                    </w:pPr>
                    <w:r>
                      <w:rPr>
                        <w:rStyle w:val="13"/>
                        <w:rFonts w:hint="eastAsia" w:ascii="宋体" w:hAnsi="宋体" w:cs="宋体"/>
                        <w:szCs w:val="28"/>
                      </w:rPr>
                      <w:t>－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3"/>
                        <w:rFonts w:hint="eastAsia" w:ascii="宋体" w:hAnsi="宋体" w:cs="宋体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3"/>
                        <w:rFonts w:ascii="宋体" w:hAnsi="宋体" w:cs="宋体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3"/>
                        <w:rFonts w:hint="eastAsia" w:ascii="宋体" w:hAnsi="宋体" w:cs="宋体"/>
                        <w:szCs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560" w:lineRule="exact"/>
      <w:ind w:firstLine="360" w:firstLineChars="200"/>
      <w:jc w:val="left"/>
      <w:rPr>
        <w:rFonts w:ascii="仿宋_GB2312" w:hAnsi="仿宋_GB2312" w:eastAsia="仿宋_GB2312" w:cs="Times New Roman"/>
        <w:kern w:val="2"/>
        <w:sz w:val="18"/>
        <w:szCs w:val="24"/>
        <w:lang w:val="en-US" w:eastAsia="zh-CN" w:bidi="ar-SA"/>
      </w:rPr>
    </w:pPr>
    <w:r>
      <w:rPr>
        <w:rFonts w:ascii="仿宋_GB2312" w:hAnsi="仿宋_GB2312" w:eastAsia="仿宋_GB2312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widowControl w:val="0"/>
                            <w:snapToGrid w:val="0"/>
                            <w:spacing w:line="560" w:lineRule="exact"/>
                            <w:ind w:firstLine="0" w:firstLineChars="0"/>
                            <w:jc w:val="left"/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s0lY7tAAAAAFAQAADwAAAAAAAAABACAA&#10;AAA4AAAAZHJzL2Rvd25yZXYueG1sUEsBAhQAFAAAAAgAh07iQDniKxQ4AgAAbwQAAA4AAAAAAAAA&#10;AQAgAAAANQEAAGRycy9lMm9Eb2MueG1sUEsFBgAAAAAGAAYAWQEAAN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widowControl w:val="0"/>
                      <w:snapToGrid w:val="0"/>
                      <w:spacing w:line="560" w:lineRule="exact"/>
                      <w:ind w:firstLine="0" w:firstLineChars="0"/>
                      <w:jc w:val="left"/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attachedTemplate r:id="rId1"/>
  <w:documentProtection w:edit="readOnly" w:enforcement="0"/>
  <w:defaultTabStop w:val="425"/>
  <w:evenAndOddHeaders w:val="1"/>
  <w:drawingGridHorizontalSpacing w:val="311"/>
  <w:drawingGridVerticalSpacing w:val="573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F04"/>
    <w:rsid w:val="0001503A"/>
    <w:rsid w:val="00016E60"/>
    <w:rsid w:val="000245FC"/>
    <w:rsid w:val="00070A7B"/>
    <w:rsid w:val="000953D6"/>
    <w:rsid w:val="000A412B"/>
    <w:rsid w:val="000A68B1"/>
    <w:rsid w:val="001A2887"/>
    <w:rsid w:val="001C785B"/>
    <w:rsid w:val="002249C6"/>
    <w:rsid w:val="002746D4"/>
    <w:rsid w:val="00285E5A"/>
    <w:rsid w:val="00311300"/>
    <w:rsid w:val="00333852"/>
    <w:rsid w:val="00357166"/>
    <w:rsid w:val="0037657C"/>
    <w:rsid w:val="003906EB"/>
    <w:rsid w:val="003B2B50"/>
    <w:rsid w:val="003D6D79"/>
    <w:rsid w:val="003F2A20"/>
    <w:rsid w:val="003F789D"/>
    <w:rsid w:val="0043785D"/>
    <w:rsid w:val="004648A0"/>
    <w:rsid w:val="004B7F04"/>
    <w:rsid w:val="00512B54"/>
    <w:rsid w:val="005227C0"/>
    <w:rsid w:val="005B7B31"/>
    <w:rsid w:val="00646C0A"/>
    <w:rsid w:val="006D40F8"/>
    <w:rsid w:val="007334A1"/>
    <w:rsid w:val="0077174A"/>
    <w:rsid w:val="007A39AE"/>
    <w:rsid w:val="007B2923"/>
    <w:rsid w:val="007D6100"/>
    <w:rsid w:val="00827F21"/>
    <w:rsid w:val="008625A8"/>
    <w:rsid w:val="00895643"/>
    <w:rsid w:val="00897114"/>
    <w:rsid w:val="008A50A1"/>
    <w:rsid w:val="009B181B"/>
    <w:rsid w:val="009C67C9"/>
    <w:rsid w:val="00A37A65"/>
    <w:rsid w:val="00A4595A"/>
    <w:rsid w:val="00AC3A95"/>
    <w:rsid w:val="00AC608E"/>
    <w:rsid w:val="00AD4E9B"/>
    <w:rsid w:val="00AE3B98"/>
    <w:rsid w:val="00B022E5"/>
    <w:rsid w:val="00B414DC"/>
    <w:rsid w:val="00B661DF"/>
    <w:rsid w:val="00BB39D5"/>
    <w:rsid w:val="00BE305B"/>
    <w:rsid w:val="00C12CEE"/>
    <w:rsid w:val="00C960B9"/>
    <w:rsid w:val="00C96DF8"/>
    <w:rsid w:val="00CB1BEA"/>
    <w:rsid w:val="00CB4338"/>
    <w:rsid w:val="00D45ADE"/>
    <w:rsid w:val="00D72116"/>
    <w:rsid w:val="00DE2FA0"/>
    <w:rsid w:val="00E0219E"/>
    <w:rsid w:val="00EB3435"/>
    <w:rsid w:val="00EC4C1C"/>
    <w:rsid w:val="00EE60FF"/>
    <w:rsid w:val="00F04293"/>
    <w:rsid w:val="00F4556D"/>
    <w:rsid w:val="00F8458C"/>
    <w:rsid w:val="00FA113A"/>
    <w:rsid w:val="00FA21A5"/>
    <w:rsid w:val="02561039"/>
    <w:rsid w:val="03145CD6"/>
    <w:rsid w:val="033004E6"/>
    <w:rsid w:val="035E2E11"/>
    <w:rsid w:val="04915A93"/>
    <w:rsid w:val="04E3192A"/>
    <w:rsid w:val="0569310E"/>
    <w:rsid w:val="06110D8C"/>
    <w:rsid w:val="07026940"/>
    <w:rsid w:val="082E030B"/>
    <w:rsid w:val="083D5C02"/>
    <w:rsid w:val="0A310445"/>
    <w:rsid w:val="0CF24A5C"/>
    <w:rsid w:val="0D853549"/>
    <w:rsid w:val="100F1DB6"/>
    <w:rsid w:val="1216334A"/>
    <w:rsid w:val="14B4066A"/>
    <w:rsid w:val="14DF5FD1"/>
    <w:rsid w:val="15C06939"/>
    <w:rsid w:val="165F38FD"/>
    <w:rsid w:val="16A675D1"/>
    <w:rsid w:val="16D50094"/>
    <w:rsid w:val="16E67F3A"/>
    <w:rsid w:val="16FC543C"/>
    <w:rsid w:val="18F933E9"/>
    <w:rsid w:val="18FF4B7C"/>
    <w:rsid w:val="192F7BB1"/>
    <w:rsid w:val="196646F6"/>
    <w:rsid w:val="1AAC003F"/>
    <w:rsid w:val="1BD55A76"/>
    <w:rsid w:val="1BEB5E66"/>
    <w:rsid w:val="1C6E4BBE"/>
    <w:rsid w:val="1D326779"/>
    <w:rsid w:val="1D443B78"/>
    <w:rsid w:val="1D4F076B"/>
    <w:rsid w:val="1D717459"/>
    <w:rsid w:val="1E903B85"/>
    <w:rsid w:val="1F1A717E"/>
    <w:rsid w:val="1F352509"/>
    <w:rsid w:val="1F8F54F8"/>
    <w:rsid w:val="1F905A47"/>
    <w:rsid w:val="20DE460B"/>
    <w:rsid w:val="214A3262"/>
    <w:rsid w:val="230E2825"/>
    <w:rsid w:val="234258F1"/>
    <w:rsid w:val="23A028E9"/>
    <w:rsid w:val="27E13399"/>
    <w:rsid w:val="29A31FBF"/>
    <w:rsid w:val="2A01791C"/>
    <w:rsid w:val="2BA33ED9"/>
    <w:rsid w:val="2E735279"/>
    <w:rsid w:val="30605598"/>
    <w:rsid w:val="308221B7"/>
    <w:rsid w:val="30B7195B"/>
    <w:rsid w:val="30C44DDD"/>
    <w:rsid w:val="31340598"/>
    <w:rsid w:val="31B57D7E"/>
    <w:rsid w:val="3244616F"/>
    <w:rsid w:val="32690656"/>
    <w:rsid w:val="326E761A"/>
    <w:rsid w:val="32A82F56"/>
    <w:rsid w:val="3320127C"/>
    <w:rsid w:val="33794352"/>
    <w:rsid w:val="34196AB8"/>
    <w:rsid w:val="34DF6A50"/>
    <w:rsid w:val="359B5E46"/>
    <w:rsid w:val="372703E5"/>
    <w:rsid w:val="37755D63"/>
    <w:rsid w:val="383E4831"/>
    <w:rsid w:val="38AF762E"/>
    <w:rsid w:val="39A14CA1"/>
    <w:rsid w:val="39EC22EE"/>
    <w:rsid w:val="3B4C305E"/>
    <w:rsid w:val="3BBD51D1"/>
    <w:rsid w:val="3D660213"/>
    <w:rsid w:val="3DA92A15"/>
    <w:rsid w:val="3F3B0550"/>
    <w:rsid w:val="3F5A260C"/>
    <w:rsid w:val="3F732573"/>
    <w:rsid w:val="400C1402"/>
    <w:rsid w:val="402A5456"/>
    <w:rsid w:val="4057274B"/>
    <w:rsid w:val="43192347"/>
    <w:rsid w:val="43A83204"/>
    <w:rsid w:val="449400F0"/>
    <w:rsid w:val="44C67E48"/>
    <w:rsid w:val="44D677C8"/>
    <w:rsid w:val="457D6CD5"/>
    <w:rsid w:val="4607798F"/>
    <w:rsid w:val="46364EB2"/>
    <w:rsid w:val="47B254A8"/>
    <w:rsid w:val="487517FF"/>
    <w:rsid w:val="4A265291"/>
    <w:rsid w:val="4A8021AD"/>
    <w:rsid w:val="4B0F6B86"/>
    <w:rsid w:val="4B907AD4"/>
    <w:rsid w:val="4BB10789"/>
    <w:rsid w:val="4BD3103C"/>
    <w:rsid w:val="4E1F7FE2"/>
    <w:rsid w:val="4EA54031"/>
    <w:rsid w:val="50717518"/>
    <w:rsid w:val="50981BCA"/>
    <w:rsid w:val="51121A89"/>
    <w:rsid w:val="52310095"/>
    <w:rsid w:val="532C2BEB"/>
    <w:rsid w:val="56842415"/>
    <w:rsid w:val="588847EE"/>
    <w:rsid w:val="594A0EBE"/>
    <w:rsid w:val="59AB3789"/>
    <w:rsid w:val="59E802C3"/>
    <w:rsid w:val="5A3E4031"/>
    <w:rsid w:val="5B6649A9"/>
    <w:rsid w:val="5BAC7CD5"/>
    <w:rsid w:val="5C415992"/>
    <w:rsid w:val="5E74303F"/>
    <w:rsid w:val="5F7B4911"/>
    <w:rsid w:val="614D398E"/>
    <w:rsid w:val="619B175B"/>
    <w:rsid w:val="62077801"/>
    <w:rsid w:val="622A39C4"/>
    <w:rsid w:val="62A70C46"/>
    <w:rsid w:val="63760565"/>
    <w:rsid w:val="64527252"/>
    <w:rsid w:val="646127D4"/>
    <w:rsid w:val="65B0053B"/>
    <w:rsid w:val="66C84E14"/>
    <w:rsid w:val="670A00D7"/>
    <w:rsid w:val="672B0ACC"/>
    <w:rsid w:val="67B33B1A"/>
    <w:rsid w:val="68346EB6"/>
    <w:rsid w:val="684A4C0A"/>
    <w:rsid w:val="69E65F25"/>
    <w:rsid w:val="6B070244"/>
    <w:rsid w:val="6B80670D"/>
    <w:rsid w:val="6BE52F5F"/>
    <w:rsid w:val="6D1B7ACC"/>
    <w:rsid w:val="6D9075C4"/>
    <w:rsid w:val="6E2B0310"/>
    <w:rsid w:val="6E554B02"/>
    <w:rsid w:val="6E596CD6"/>
    <w:rsid w:val="6EBE29E6"/>
    <w:rsid w:val="6F36433B"/>
    <w:rsid w:val="6F5F5752"/>
    <w:rsid w:val="6FB4149D"/>
    <w:rsid w:val="70144973"/>
    <w:rsid w:val="708A4ED6"/>
    <w:rsid w:val="708C61B2"/>
    <w:rsid w:val="709A273A"/>
    <w:rsid w:val="70F1382F"/>
    <w:rsid w:val="715152CF"/>
    <w:rsid w:val="71DE30C6"/>
    <w:rsid w:val="721A2E84"/>
    <w:rsid w:val="734E5538"/>
    <w:rsid w:val="73B90D36"/>
    <w:rsid w:val="74257E47"/>
    <w:rsid w:val="762A4F83"/>
    <w:rsid w:val="765164A8"/>
    <w:rsid w:val="783A1232"/>
    <w:rsid w:val="785B4354"/>
    <w:rsid w:val="78EF08C3"/>
    <w:rsid w:val="78F3151D"/>
    <w:rsid w:val="790D61E5"/>
    <w:rsid w:val="795F3B86"/>
    <w:rsid w:val="79B803A5"/>
    <w:rsid w:val="7B6F7D02"/>
    <w:rsid w:val="7B9465D1"/>
    <w:rsid w:val="7C4563F3"/>
    <w:rsid w:val="7D8114BD"/>
    <w:rsid w:val="7E4A6E56"/>
    <w:rsid w:val="7EE82693"/>
    <w:rsid w:val="7EF45DDB"/>
    <w:rsid w:val="7F105DB1"/>
    <w:rsid w:val="7FB06357"/>
    <w:rsid w:val="D4BF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paragraph" w:styleId="4">
    <w:name w:val="heading 1"/>
    <w:basedOn w:val="1"/>
    <w:next w:val="1"/>
    <w:link w:val="25"/>
    <w:qFormat/>
    <w:uiPriority w:val="0"/>
    <w:pPr>
      <w:keepNext/>
      <w:keepLines/>
      <w:adjustRightInd w:val="0"/>
      <w:jc w:val="distribute"/>
      <w:outlineLvl w:val="0"/>
    </w:pPr>
    <w:rPr>
      <w:rFonts w:eastAsia="文鼎小标宋简"/>
      <w:b/>
      <w:color w:val="FF0000"/>
      <w:kern w:val="44"/>
      <w:sz w:val="72"/>
    </w:rPr>
  </w:style>
  <w:style w:type="paragraph" w:styleId="5">
    <w:name w:val="heading 2"/>
    <w:basedOn w:val="1"/>
    <w:next w:val="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1000" w:after="400"/>
      <w:jc w:val="center"/>
      <w:outlineLvl w:val="2"/>
    </w:pPr>
    <w:rPr>
      <w:rFonts w:ascii="文鼎小标宋简" w:eastAsia="文鼎小标宋简"/>
      <w:sz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630"/>
    </w:pPr>
    <w:rPr>
      <w:kern w:val="0"/>
    </w:rPr>
  </w:style>
  <w:style w:type="paragraph" w:styleId="6">
    <w:name w:val="Date"/>
    <w:basedOn w:val="1"/>
    <w:next w:val="1"/>
    <w:qFormat/>
    <w:uiPriority w:val="0"/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Title"/>
    <w:basedOn w:val="1"/>
    <w:next w:val="1"/>
    <w:qFormat/>
    <w:uiPriority w:val="10"/>
    <w:pPr>
      <w:jc w:val="center"/>
      <w:outlineLvl w:val="0"/>
    </w:pPr>
    <w:rPr>
      <w:rFonts w:ascii="方正小标宋简体" w:hAnsi="Cambria" w:eastAsia="方正小标宋简体"/>
      <w:bCs/>
      <w:sz w:val="44"/>
      <w:szCs w:val="32"/>
    </w:rPr>
  </w:style>
  <w:style w:type="character" w:styleId="13">
    <w:name w:val="page number"/>
    <w:qFormat/>
    <w:uiPriority w:val="0"/>
    <w:rPr>
      <w:rFonts w:eastAsia="宋体"/>
      <w:sz w:val="28"/>
    </w:rPr>
  </w:style>
  <w:style w:type="paragraph" w:customStyle="1" w:styleId="14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5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文鼎小标宋简"/>
    </w:rPr>
  </w:style>
  <w:style w:type="paragraph" w:customStyle="1" w:styleId="16">
    <w:name w:val="附件"/>
    <w:basedOn w:val="1"/>
    <w:qFormat/>
    <w:uiPriority w:val="0"/>
    <w:pPr>
      <w:ind w:left="1638" w:hanging="1016"/>
    </w:pPr>
  </w:style>
  <w:style w:type="paragraph" w:customStyle="1" w:styleId="17">
    <w:name w:val="小标宋简"/>
    <w:basedOn w:val="1"/>
    <w:qFormat/>
    <w:uiPriority w:val="0"/>
    <w:pPr>
      <w:spacing w:line="56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8">
    <w:name w:val="抄送"/>
    <w:basedOn w:val="15"/>
    <w:qFormat/>
    <w:uiPriority w:val="0"/>
    <w:pPr>
      <w:ind w:left="0" w:firstLine="0"/>
    </w:pPr>
    <w:rPr>
      <w:rFonts w:eastAsia="仿宋_GB2312"/>
    </w:rPr>
  </w:style>
  <w:style w:type="paragraph" w:styleId="19">
    <w:name w:val="No Spacing"/>
    <w:qFormat/>
    <w:uiPriority w:val="1"/>
    <w:pPr>
      <w:widowControl w:val="0"/>
      <w:spacing w:line="560" w:lineRule="exact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paragraph" w:customStyle="1" w:styleId="20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1">
    <w:name w:val="默认段落字体 Para Char Char Char Char Char Char Char Char Char Char"/>
    <w:basedOn w:val="1"/>
    <w:qFormat/>
    <w:uiPriority w:val="0"/>
    <w:rPr>
      <w:rFonts w:eastAsia="宋体"/>
      <w:sz w:val="21"/>
      <w:szCs w:val="21"/>
    </w:rPr>
  </w:style>
  <w:style w:type="paragraph" w:customStyle="1" w:styleId="22">
    <w:name w:val="文件正文"/>
    <w:basedOn w:val="1"/>
    <w:next w:val="1"/>
    <w:qFormat/>
    <w:uiPriority w:val="0"/>
    <w:pPr>
      <w:spacing w:line="560" w:lineRule="exact"/>
      <w:ind w:firstLine="622" w:firstLineChars="200"/>
      <w:jc w:val="left"/>
    </w:pPr>
    <w:rPr>
      <w:rFonts w:ascii="仿宋_GB2312" w:hAnsi="仿宋_GB2312" w:cs="Cambria"/>
      <w:kern w:val="0"/>
      <w:szCs w:val="32"/>
    </w:rPr>
  </w:style>
  <w:style w:type="character" w:customStyle="1" w:styleId="23">
    <w:name w:val="NormalCharacter"/>
    <w:link w:val="24"/>
    <w:semiHidden/>
    <w:qFormat/>
    <w:uiPriority w:val="0"/>
    <w:rPr>
      <w:rFonts w:hint="default" w:ascii="Verdana" w:hAnsi="Verdana" w:eastAsia="仿宋_GB2312"/>
      <w:kern w:val="0"/>
      <w:sz w:val="24"/>
      <w:lang w:eastAsia="en-US"/>
    </w:rPr>
  </w:style>
  <w:style w:type="paragraph" w:customStyle="1" w:styleId="24">
    <w:name w:val="UserStyle_0"/>
    <w:basedOn w:val="1"/>
    <w:link w:val="23"/>
    <w:qFormat/>
    <w:uiPriority w:val="0"/>
    <w:pPr>
      <w:widowControl/>
      <w:spacing w:after="160" w:afterLines="0" w:line="240" w:lineRule="exact"/>
      <w:jc w:val="left"/>
      <w:textAlignment w:val="baseline"/>
    </w:pPr>
    <w:rPr>
      <w:rFonts w:hint="default" w:ascii="Verdana" w:hAnsi="Verdana" w:eastAsia="仿宋_GB2312"/>
      <w:kern w:val="0"/>
      <w:sz w:val="24"/>
      <w:lang w:eastAsia="en-US"/>
    </w:rPr>
  </w:style>
  <w:style w:type="character" w:customStyle="1" w:styleId="25">
    <w:name w:val="标题 1 Char"/>
    <w:link w:val="4"/>
    <w:qFormat/>
    <w:uiPriority w:val="0"/>
    <w:rPr>
      <w:rFonts w:eastAsia="文鼎小标宋简"/>
      <w:b/>
      <w:color w:val="FF0000"/>
      <w:kern w:val="44"/>
      <w:sz w:val="72"/>
    </w:rPr>
  </w:style>
  <w:style w:type="character" w:customStyle="1" w:styleId="26">
    <w:name w:val="样式6 Char"/>
    <w:link w:val="27"/>
    <w:qFormat/>
    <w:uiPriority w:val="0"/>
  </w:style>
  <w:style w:type="paragraph" w:customStyle="1" w:styleId="27">
    <w:name w:val="样式6"/>
    <w:basedOn w:val="1"/>
    <w:link w:val="2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yantian/C:\Documents%20and%20Settings\dellxp\&#26700;&#38754;\&#22269;&#26631;&#20844;&#25991;&#26684;&#24335;&#27169;&#26495;\B1%20&#20844;&#25991;_&#19978;&#25253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 公文_上报</Template>
  <Company>盐田区政府</Company>
  <Pages>4</Pages>
  <Words>998</Words>
  <Characters>115</Characters>
  <Lines>1</Lines>
  <Paragraphs>2</Paragraphs>
  <TotalTime>1</TotalTime>
  <ScaleCrop>false</ScaleCrop>
  <LinksUpToDate>false</LinksUpToDate>
  <CharactersWithSpaces>1111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2021-05-12T11:33:00Z</dcterms:created>
  <dc:creator>王楚玲</dc:creator>
  <cp:lastModifiedBy>yantian</cp:lastModifiedBy>
  <cp:lastPrinted>2021-05-11T16:08:00Z</cp:lastPrinted>
  <dcterms:modified xsi:type="dcterms:W3CDTF">2025-12-05T11:59:57Z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